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08" w:rsidRPr="00F94030" w:rsidRDefault="004F3708" w:rsidP="008978EB">
      <w:pPr>
        <w:jc w:val="both"/>
        <w:rPr>
          <w:rFonts w:ascii="Times New Roman" w:hAnsi="Times New Roman"/>
          <w:b/>
          <w:sz w:val="24"/>
          <w:szCs w:val="24"/>
        </w:rPr>
      </w:pPr>
    </w:p>
    <w:p w:rsidR="004F3708" w:rsidRPr="00F94030" w:rsidRDefault="004F3708" w:rsidP="008978EB">
      <w:pPr>
        <w:jc w:val="both"/>
        <w:rPr>
          <w:rFonts w:ascii="Times New Roman" w:hAnsi="Times New Roman"/>
          <w:sz w:val="24"/>
          <w:szCs w:val="24"/>
        </w:rPr>
      </w:pPr>
      <w:r w:rsidRPr="00F94030">
        <w:rPr>
          <w:rFonts w:ascii="Times New Roman" w:hAnsi="Times New Roman"/>
          <w:b/>
          <w:sz w:val="24"/>
          <w:szCs w:val="24"/>
        </w:rPr>
        <w:t xml:space="preserve">A szervezet neve: </w:t>
      </w:r>
      <w:r w:rsidRPr="00F94030">
        <w:rPr>
          <w:rFonts w:ascii="Times New Roman" w:hAnsi="Times New Roman"/>
          <w:sz w:val="24"/>
          <w:szCs w:val="24"/>
        </w:rPr>
        <w:t>Educatio Társadalmi Szolgáltató Nonprofit Korlátolt Felelősségű Társaság</w:t>
      </w:r>
    </w:p>
    <w:p w:rsidR="004F3708" w:rsidRPr="00F94030" w:rsidRDefault="004F3708" w:rsidP="008978EB">
      <w:pPr>
        <w:jc w:val="both"/>
        <w:rPr>
          <w:rFonts w:ascii="Times New Roman" w:hAnsi="Times New Roman"/>
          <w:sz w:val="24"/>
          <w:szCs w:val="24"/>
        </w:rPr>
      </w:pPr>
      <w:r w:rsidRPr="00F94030">
        <w:rPr>
          <w:rFonts w:ascii="Times New Roman" w:hAnsi="Times New Roman"/>
          <w:b/>
          <w:sz w:val="24"/>
          <w:szCs w:val="24"/>
        </w:rPr>
        <w:t xml:space="preserve">A szervezet közhasznúsági fokozata: </w:t>
      </w:r>
      <w:r w:rsidRPr="00F94030">
        <w:rPr>
          <w:rFonts w:ascii="Times New Roman" w:hAnsi="Times New Roman"/>
          <w:sz w:val="24"/>
          <w:szCs w:val="24"/>
        </w:rPr>
        <w:t>kiemelten közhasznú</w:t>
      </w:r>
    </w:p>
    <w:p w:rsidR="004F3708" w:rsidRPr="00F94030" w:rsidRDefault="004F3708" w:rsidP="009701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4F3708" w:rsidRPr="007F44C2" w:rsidRDefault="004F3708" w:rsidP="007F44C2">
      <w:pPr>
        <w:pStyle w:val="ListParagraph"/>
        <w:numPr>
          <w:ilvl w:val="0"/>
          <w:numId w:val="5"/>
        </w:numPr>
        <w:jc w:val="center"/>
        <w:rPr>
          <w:rFonts w:ascii="Times New Roman" w:hAnsi="Times New Roman"/>
          <w:b/>
          <w:sz w:val="24"/>
          <w:szCs w:val="24"/>
        </w:rPr>
      </w:pPr>
      <w:r w:rsidRPr="007F44C2">
        <w:rPr>
          <w:rFonts w:ascii="Times New Roman" w:hAnsi="Times New Roman"/>
          <w:b/>
          <w:sz w:val="24"/>
          <w:szCs w:val="24"/>
        </w:rPr>
        <w:t>A társaság szakmai, igazgatási működés feladat szerinti tételes bemutatása</w:t>
      </w:r>
    </w:p>
    <w:p w:rsidR="004F3708" w:rsidRPr="00F94030" w:rsidRDefault="004F3708" w:rsidP="003D67D0">
      <w:pPr>
        <w:jc w:val="center"/>
        <w:rPr>
          <w:rFonts w:ascii="Times New Roman" w:hAnsi="Times New Roman"/>
          <w:b/>
        </w:rPr>
      </w:pPr>
    </w:p>
    <w:p w:rsidR="004F3708" w:rsidRPr="00F94030" w:rsidRDefault="004F3708" w:rsidP="00C0044A">
      <w:pPr>
        <w:pStyle w:val="Norml2"/>
        <w:rPr>
          <w:rFonts w:ascii="Times New Roman" w:hAnsi="Times New Roman"/>
          <w:szCs w:val="24"/>
        </w:rPr>
      </w:pPr>
      <w:r w:rsidRPr="00F94030">
        <w:rPr>
          <w:rFonts w:ascii="Times New Roman" w:hAnsi="Times New Roman"/>
          <w:szCs w:val="24"/>
        </w:rPr>
        <w:t xml:space="preserve">Az EDUCATIO Társ.Szolg. Nonprofit Kft. - 2007. szeptemberétől az oktatási közhasznú társaságok összevonásával egy időben bevezetett szervezeti működési modell alapján - feladatainak túlnyomó többségét projektalapon végzi. Az ezeken felüli feladatokat ún. igazgatósági feladatokként, de a projekt-finanszírozási alapon végzi. </w:t>
      </w:r>
    </w:p>
    <w:p w:rsidR="004F3708" w:rsidRPr="00F94030" w:rsidRDefault="004F3708" w:rsidP="00C0044A">
      <w:pPr>
        <w:pStyle w:val="Norml2"/>
        <w:rPr>
          <w:rFonts w:ascii="Times New Roman" w:hAnsi="Times New Roman"/>
          <w:szCs w:val="24"/>
        </w:rPr>
      </w:pPr>
      <w:r w:rsidRPr="00F94030">
        <w:rPr>
          <w:rFonts w:ascii="Times New Roman" w:hAnsi="Times New Roman"/>
          <w:szCs w:val="24"/>
        </w:rPr>
        <w:t>A táblázat a 2010. április 30-án érvényes feladatszerkezetet (az ekkor már ismert jövőbeli feladatokkal tükrözi a feladatot ellátó igazgatóság (ok) megjelölésével.</w:t>
      </w:r>
    </w:p>
    <w:p w:rsidR="004F3708" w:rsidRPr="008B00F4" w:rsidRDefault="004F3708" w:rsidP="00C0044A">
      <w:pPr>
        <w:pStyle w:val="Norml2"/>
        <w:spacing w:after="0"/>
        <w:rPr>
          <w:rFonts w:ascii="Calibri" w:hAnsi="Calibri"/>
          <w:sz w:val="16"/>
          <w:szCs w:val="16"/>
        </w:rPr>
      </w:pPr>
      <w:r w:rsidRPr="00C57EAD">
        <w:rPr>
          <w:rFonts w:ascii="Calibri" w:hAnsi="Calibri"/>
          <w:szCs w:val="24"/>
        </w:rPr>
        <w:object w:dxaOrig="14970" w:dyaOrig="13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387pt" o:ole="">
            <v:imagedata r:id="rId7" o:title=""/>
          </v:shape>
          <o:OLEObject Type="Embed" ProgID="Excel.Sheet.8" ShapeID="_x0000_i1025" DrawAspect="Content" ObjectID="_1336546238" r:id="rId8"/>
        </w:object>
      </w:r>
      <w:r w:rsidRPr="008B00F4">
        <w:rPr>
          <w:rFonts w:ascii="Calibri" w:hAnsi="Calibri"/>
          <w:sz w:val="16"/>
          <w:szCs w:val="16"/>
        </w:rPr>
        <w:t>Jelmagyarázat:</w:t>
      </w:r>
    </w:p>
    <w:p w:rsidR="004F3708" w:rsidRPr="008B00F4" w:rsidRDefault="004F3708" w:rsidP="00C0044A">
      <w:pPr>
        <w:pStyle w:val="Norml2"/>
        <w:numPr>
          <w:ilvl w:val="0"/>
          <w:numId w:val="1"/>
        </w:numPr>
        <w:spacing w:after="0"/>
        <w:rPr>
          <w:rFonts w:ascii="Calibri" w:hAnsi="Calibri"/>
          <w:sz w:val="16"/>
          <w:szCs w:val="16"/>
        </w:rPr>
      </w:pPr>
      <w:r w:rsidRPr="008B00F4">
        <w:rPr>
          <w:rFonts w:ascii="Calibri" w:hAnsi="Calibri"/>
          <w:sz w:val="16"/>
          <w:szCs w:val="16"/>
        </w:rPr>
        <w:t>HEPIH:</w:t>
      </w:r>
      <w:r>
        <w:rPr>
          <w:rFonts w:ascii="Calibri" w:hAnsi="Calibri"/>
          <w:sz w:val="16"/>
          <w:szCs w:val="16"/>
        </w:rPr>
        <w:t xml:space="preserve"> ÚMFT Támogatási szerződés keretében</w:t>
      </w:r>
    </w:p>
    <w:p w:rsidR="004F3708" w:rsidRPr="008B00F4" w:rsidRDefault="004F3708" w:rsidP="00C0044A">
      <w:pPr>
        <w:pStyle w:val="Norml2"/>
        <w:numPr>
          <w:ilvl w:val="0"/>
          <w:numId w:val="1"/>
        </w:numPr>
        <w:spacing w:after="0"/>
        <w:rPr>
          <w:rFonts w:ascii="Calibri" w:hAnsi="Calibri"/>
          <w:sz w:val="16"/>
          <w:szCs w:val="16"/>
        </w:rPr>
      </w:pPr>
      <w:r w:rsidRPr="008B00F4">
        <w:rPr>
          <w:rFonts w:ascii="Calibri" w:hAnsi="Calibri"/>
          <w:sz w:val="16"/>
          <w:szCs w:val="16"/>
        </w:rPr>
        <w:t>OKM:</w:t>
      </w:r>
      <w:r>
        <w:rPr>
          <w:rFonts w:ascii="Calibri" w:hAnsi="Calibri"/>
          <w:sz w:val="16"/>
          <w:szCs w:val="16"/>
        </w:rPr>
        <w:t xml:space="preserve"> OKM Közhasznú szerződés keretében</w:t>
      </w:r>
    </w:p>
    <w:p w:rsidR="004F3708" w:rsidRPr="008B00F4" w:rsidRDefault="004F3708" w:rsidP="00C0044A">
      <w:pPr>
        <w:pStyle w:val="Norml2"/>
        <w:numPr>
          <w:ilvl w:val="0"/>
          <w:numId w:val="1"/>
        </w:numPr>
        <w:spacing w:after="0"/>
        <w:rPr>
          <w:rFonts w:ascii="Calibri" w:hAnsi="Calibri"/>
          <w:sz w:val="16"/>
          <w:szCs w:val="16"/>
        </w:rPr>
      </w:pPr>
      <w:r w:rsidRPr="008B00F4">
        <w:rPr>
          <w:rFonts w:ascii="Calibri" w:hAnsi="Calibri"/>
          <w:sz w:val="16"/>
          <w:szCs w:val="16"/>
        </w:rPr>
        <w:t>SB:</w:t>
      </w:r>
      <w:r>
        <w:rPr>
          <w:rFonts w:ascii="Calibri" w:hAnsi="Calibri"/>
          <w:sz w:val="16"/>
          <w:szCs w:val="16"/>
        </w:rPr>
        <w:t xml:space="preserve"> Saját bevétel</w:t>
      </w:r>
    </w:p>
    <w:p w:rsidR="004F3708" w:rsidRPr="008B00F4" w:rsidRDefault="004F3708" w:rsidP="00C0044A">
      <w:pPr>
        <w:pStyle w:val="Norml2"/>
        <w:numPr>
          <w:ilvl w:val="0"/>
          <w:numId w:val="1"/>
        </w:numPr>
        <w:spacing w:after="0"/>
        <w:rPr>
          <w:rFonts w:ascii="Calibri" w:hAnsi="Calibri"/>
          <w:sz w:val="16"/>
          <w:szCs w:val="16"/>
        </w:rPr>
      </w:pPr>
      <w:r w:rsidRPr="008B00F4">
        <w:rPr>
          <w:rFonts w:ascii="Calibri" w:hAnsi="Calibri"/>
          <w:sz w:val="16"/>
          <w:szCs w:val="16"/>
        </w:rPr>
        <w:t>OH:</w:t>
      </w:r>
      <w:r>
        <w:rPr>
          <w:rFonts w:ascii="Calibri" w:hAnsi="Calibri"/>
          <w:sz w:val="16"/>
          <w:szCs w:val="16"/>
        </w:rPr>
        <w:t xml:space="preserve"> Oktatási Hivatal</w:t>
      </w:r>
    </w:p>
    <w:p w:rsidR="004F3708" w:rsidRDefault="004F3708" w:rsidP="00C0044A">
      <w:pPr>
        <w:pStyle w:val="Norml2"/>
        <w:numPr>
          <w:ilvl w:val="0"/>
          <w:numId w:val="1"/>
        </w:numPr>
        <w:spacing w:after="0"/>
        <w:rPr>
          <w:rFonts w:ascii="Calibri" w:hAnsi="Calibri"/>
          <w:sz w:val="16"/>
          <w:szCs w:val="16"/>
        </w:rPr>
      </w:pPr>
      <w:r w:rsidRPr="008B00F4">
        <w:rPr>
          <w:rFonts w:ascii="Calibri" w:hAnsi="Calibri"/>
          <w:sz w:val="16"/>
          <w:szCs w:val="16"/>
        </w:rPr>
        <w:t>EUB:</w:t>
      </w:r>
      <w:r>
        <w:rPr>
          <w:rFonts w:ascii="Calibri" w:hAnsi="Calibri"/>
          <w:sz w:val="16"/>
          <w:szCs w:val="16"/>
        </w:rPr>
        <w:t xml:space="preserve"> Európai Bizottság</w:t>
      </w:r>
    </w:p>
    <w:p w:rsidR="004F3708" w:rsidRPr="008B00F4" w:rsidRDefault="004F3708" w:rsidP="00C0044A">
      <w:pPr>
        <w:pStyle w:val="Norml2"/>
        <w:numPr>
          <w:ilvl w:val="0"/>
          <w:numId w:val="1"/>
        </w:numPr>
        <w:spacing w:after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KONZ: Konzorciumi bevételek</w:t>
      </w:r>
    </w:p>
    <w:p w:rsidR="004F3708" w:rsidRDefault="004F3708" w:rsidP="00C0044A">
      <w:pPr>
        <w:pStyle w:val="Norml2"/>
        <w:rPr>
          <w:rFonts w:ascii="Calibri" w:hAnsi="Calibri"/>
          <w:szCs w:val="24"/>
        </w:rPr>
      </w:pPr>
    </w:p>
    <w:p w:rsidR="004F3708" w:rsidRDefault="004F3708" w:rsidP="00C0044A">
      <w:pPr>
        <w:pStyle w:val="Norml2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A táblázatban foglalt feladatok tartalmi leírását a Társaság 2010. évi Üzleti Tervéhez kapcsolódó szöveges indoklásrészletesen tartalmazza.</w:t>
      </w:r>
    </w:p>
    <w:p w:rsidR="004F3708" w:rsidRDefault="004F3708" w:rsidP="00C0044A">
      <w:pPr>
        <w:jc w:val="both"/>
        <w:rPr>
          <w:color w:val="000000"/>
          <w:sz w:val="24"/>
          <w:szCs w:val="24"/>
        </w:rPr>
      </w:pPr>
    </w:p>
    <w:p w:rsidR="004F3708" w:rsidRDefault="004F3708" w:rsidP="00C0044A">
      <w:pPr>
        <w:pStyle w:val="Norml2"/>
        <w:spacing w:after="0"/>
        <w:rPr>
          <w:rFonts w:ascii="Calibri" w:hAnsi="Calibri"/>
          <w:b/>
          <w:i/>
          <w:color w:val="000000"/>
          <w:szCs w:val="24"/>
          <w:u w:val="single"/>
        </w:rPr>
      </w:pPr>
      <w:r w:rsidRPr="00A24B9C">
        <w:rPr>
          <w:rFonts w:ascii="Calibri" w:hAnsi="Calibri"/>
          <w:b/>
          <w:i/>
          <w:color w:val="000000"/>
          <w:szCs w:val="24"/>
          <w:u w:val="single"/>
        </w:rPr>
        <w:t>Feladatok rövid leírása:</w:t>
      </w:r>
    </w:p>
    <w:p w:rsidR="004F3708" w:rsidRPr="00A24B9C" w:rsidRDefault="004F3708" w:rsidP="00C0044A">
      <w:pPr>
        <w:pStyle w:val="Norml2"/>
        <w:spacing w:after="0"/>
        <w:rPr>
          <w:rFonts w:ascii="Calibri" w:hAnsi="Calibri"/>
          <w:b/>
          <w:i/>
          <w:color w:val="000000"/>
          <w:szCs w:val="24"/>
          <w:u w:val="single"/>
        </w:rPr>
      </w:pPr>
    </w:p>
    <w:p w:rsidR="004F3708" w:rsidRDefault="004F3708" w:rsidP="00C0044A">
      <w:pPr>
        <w:pStyle w:val="Norml2"/>
        <w:spacing w:after="0"/>
        <w:rPr>
          <w:rFonts w:ascii="Calibri" w:hAnsi="Calibri"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>TÁMOP 3.1.1 kiemelt projekt</w:t>
      </w:r>
      <w:r>
        <w:rPr>
          <w:rFonts w:ascii="Calibri" w:hAnsi="Calibri"/>
          <w:color w:val="000000"/>
          <w:szCs w:val="24"/>
        </w:rPr>
        <w:t xml:space="preserve"> 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XXI. századi közoktatás – Fejlesztés, koordináció. Átfogó közoktatás-fejlesztési projekt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Pillérek: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Közoktatási hálózatkoordináció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Tartalomfejlesztés támogatás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Képzés/Továbbképzés fejlesztés, továbbfejlesztés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SNI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Közoktatási eLearning szolgáltatások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Közoktatási pályázatokat támogató informatikai rendszer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 xml:space="preserve">Konzorciumi partner: 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Okatatáskutató és Fejlesztő Intézet</w:t>
      </w:r>
    </w:p>
    <w:p w:rsidR="004F3708" w:rsidRDefault="004F3708" w:rsidP="00C0044A">
      <w:pPr>
        <w:pStyle w:val="Norml2"/>
        <w:spacing w:after="0"/>
        <w:ind w:left="1134"/>
        <w:rPr>
          <w:rFonts w:ascii="Calibri" w:hAnsi="Calibri"/>
          <w:color w:val="000000"/>
          <w:szCs w:val="24"/>
        </w:rPr>
      </w:pPr>
    </w:p>
    <w:p w:rsidR="004F3708" w:rsidRPr="00C0044A" w:rsidRDefault="004F3708" w:rsidP="00C0044A">
      <w:pPr>
        <w:pStyle w:val="Norml2"/>
        <w:spacing w:after="0"/>
        <w:rPr>
          <w:rFonts w:ascii="Calibri" w:hAnsi="Calibri"/>
          <w:b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 xml:space="preserve">TÁMOP 3.3.1 kiemelt projekt 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Esélyegyenlőség és integráció a közoktatásban. A közoktatási esélyegyenlőséget, a HH és HHH tanulók felzárkóztatását támogató szolgáltatások fejlesztése, bevezetése</w:t>
      </w:r>
    </w:p>
    <w:p w:rsidR="004F3708" w:rsidRDefault="004F3708" w:rsidP="00C0044A">
      <w:pPr>
        <w:pStyle w:val="Norml2"/>
        <w:spacing w:after="0"/>
        <w:rPr>
          <w:rFonts w:ascii="Calibri" w:hAnsi="Calibri"/>
          <w:color w:val="000000"/>
          <w:szCs w:val="24"/>
        </w:rPr>
      </w:pPr>
    </w:p>
    <w:p w:rsidR="004F3708" w:rsidRPr="00C0044A" w:rsidRDefault="004F3708" w:rsidP="00C0044A">
      <w:pPr>
        <w:pStyle w:val="Norml2"/>
        <w:spacing w:after="0"/>
        <w:rPr>
          <w:rFonts w:ascii="Calibri" w:hAnsi="Calibri"/>
          <w:b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 xml:space="preserve">TÁMOP 4.1.3 kiemelt projekt 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Felsőoktatási szolgáltatások rendszerszintű fejlesztése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Pillérek: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Diplomás Pályakövető Rendszer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Adattárház alapú Vezetői Információs Rendszer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 xml:space="preserve">Konzorciumi partner: 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Okatatáskutató és Fejlesztő Intézet</w:t>
      </w:r>
    </w:p>
    <w:p w:rsidR="004F3708" w:rsidRDefault="004F3708" w:rsidP="00C0044A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 w:rsidRPr="007356BC">
        <w:rPr>
          <w:rFonts w:ascii="Calibri" w:hAnsi="Calibri"/>
          <w:color w:val="000000"/>
          <w:szCs w:val="24"/>
        </w:rPr>
        <w:t>Nemzeti Információs Infrastruktúra Fejlesztési Intézet</w:t>
      </w:r>
    </w:p>
    <w:p w:rsidR="004F3708" w:rsidRDefault="004F3708" w:rsidP="00C0044A">
      <w:pPr>
        <w:pStyle w:val="Norml2"/>
        <w:spacing w:after="0"/>
        <w:ind w:left="1134"/>
        <w:rPr>
          <w:rFonts w:ascii="Calibri" w:hAnsi="Calibri"/>
          <w:color w:val="000000"/>
          <w:szCs w:val="24"/>
        </w:rPr>
      </w:pPr>
    </w:p>
    <w:p w:rsidR="004F3708" w:rsidRPr="00C0044A" w:rsidRDefault="004F3708" w:rsidP="00C0044A">
      <w:pPr>
        <w:pStyle w:val="Norml2"/>
        <w:spacing w:after="0"/>
        <w:rPr>
          <w:rFonts w:ascii="Calibri" w:hAnsi="Calibri"/>
          <w:b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 xml:space="preserve">TÁMOP 4.2.5 kiemelt projekt 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Elektronikus tartalomfejlesztés és szolgáltatás a kutatásban és a felsőoktatásban.</w:t>
      </w:r>
    </w:p>
    <w:p w:rsidR="004F3708" w:rsidRDefault="004F3708" w:rsidP="00C0044A">
      <w:pPr>
        <w:pStyle w:val="Norml2"/>
        <w:spacing w:after="0"/>
        <w:rPr>
          <w:rFonts w:ascii="Calibri" w:hAnsi="Calibri"/>
          <w:color w:val="000000"/>
          <w:szCs w:val="24"/>
        </w:rPr>
      </w:pPr>
    </w:p>
    <w:p w:rsidR="004F3708" w:rsidRPr="00C0044A" w:rsidRDefault="004F3708" w:rsidP="00C0044A">
      <w:pPr>
        <w:pStyle w:val="Norml2"/>
        <w:spacing w:after="0"/>
        <w:rPr>
          <w:rFonts w:ascii="Calibri" w:hAnsi="Calibri"/>
          <w:b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>TIOP 1.1.2 Kiemelt projekt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 xml:space="preserve">Hatékony informatikai infrastuktúra a közoktatásban. </w:t>
      </w:r>
    </w:p>
    <w:p w:rsidR="004F3708" w:rsidRDefault="004F3708" w:rsidP="00C0044A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 xml:space="preserve">Konzorciumi partner: </w:t>
      </w:r>
    </w:p>
    <w:p w:rsidR="004F3708" w:rsidRDefault="004F3708" w:rsidP="007F6C88">
      <w:pPr>
        <w:pStyle w:val="Norml2"/>
        <w:numPr>
          <w:ilvl w:val="0"/>
          <w:numId w:val="2"/>
        </w:numPr>
        <w:spacing w:after="0"/>
        <w:ind w:left="1134" w:hanging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Okatatáskutató és Fejlesztő Intézet</w:t>
      </w:r>
    </w:p>
    <w:p w:rsidR="004F3708" w:rsidRDefault="004F3708" w:rsidP="007F6C88">
      <w:pPr>
        <w:pStyle w:val="Norml2"/>
        <w:spacing w:after="0"/>
        <w:rPr>
          <w:rFonts w:ascii="Calibri" w:hAnsi="Calibri"/>
          <w:color w:val="000000"/>
          <w:szCs w:val="24"/>
        </w:rPr>
      </w:pPr>
    </w:p>
    <w:p w:rsidR="004F3708" w:rsidRPr="00C0044A" w:rsidRDefault="004F3708" w:rsidP="007F6C88">
      <w:pPr>
        <w:pStyle w:val="Norml2"/>
        <w:spacing w:after="0"/>
        <w:rPr>
          <w:rFonts w:ascii="Calibri" w:hAnsi="Calibri"/>
          <w:b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>Felsőoktatási felvételi 2010</w:t>
      </w:r>
    </w:p>
    <w:p w:rsidR="004F3708" w:rsidRDefault="004F3708" w:rsidP="007F6C88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Az országos felsőoktatási felvételi eljárás lebonyolítása, ügyviteli tevékenység, az eljáráshoz kapcsolódó informatikai szolgáltatások fejlesztése és üzemeltetése.</w:t>
      </w:r>
    </w:p>
    <w:p w:rsidR="004F3708" w:rsidRDefault="004F3708" w:rsidP="007F6C88">
      <w:pPr>
        <w:pStyle w:val="Norml2"/>
        <w:spacing w:after="0"/>
        <w:ind w:left="567"/>
        <w:rPr>
          <w:rFonts w:ascii="Calibri" w:hAnsi="Calibri"/>
          <w:color w:val="000000"/>
          <w:szCs w:val="24"/>
        </w:rPr>
      </w:pPr>
    </w:p>
    <w:p w:rsidR="004F3708" w:rsidRPr="00C0044A" w:rsidRDefault="004F3708" w:rsidP="007F6C88">
      <w:pPr>
        <w:pStyle w:val="Norml2"/>
        <w:spacing w:after="0"/>
        <w:rPr>
          <w:rFonts w:ascii="Calibri" w:hAnsi="Calibri"/>
          <w:b/>
          <w:color w:val="000000"/>
          <w:szCs w:val="24"/>
        </w:rPr>
      </w:pPr>
      <w:r w:rsidRPr="00C0044A">
        <w:rPr>
          <w:rFonts w:ascii="Calibri" w:hAnsi="Calibri"/>
          <w:b/>
          <w:color w:val="000000"/>
          <w:szCs w:val="24"/>
        </w:rPr>
        <w:t>Felsőoktatási tájékoztatás 2010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 felsőoktatási felvételi eljáráshoz kapcsolódó hivatalos és tájékoztató kiadványok szerkesztése és terjesztése</w:t>
      </w:r>
      <w:r>
        <w:rPr>
          <w:rFonts w:ascii="Times New Roman" w:hAnsi="Times New Roman"/>
          <w:color w:val="000000"/>
          <w:szCs w:val="24"/>
        </w:rPr>
        <w:t>se, eljáráshoz kapcsolódó kommunikációs tevékenység folytatása, különös tekintettel a felvi.hu honlap tartalomszolgáltatására. Felsőoktatási kutatások lefolytatása és az eredmények publikálása.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Felsőoktatási Információs Rendszer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 felsőoktatási adatokat integráltan tartalmazó adatbázis és a hozzá tartozó szolgáltatások fejlesztése és üzemeltetése.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Közoktatási Információs Rendszer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 xml:space="preserve">A közoktatás központi információs rendszerének fejlesztése és üzemeltetése. A kötelező és adhoc jellegű </w:t>
      </w:r>
      <w:r>
        <w:rPr>
          <w:rFonts w:ascii="Times New Roman" w:hAnsi="Times New Roman"/>
          <w:color w:val="000000"/>
          <w:szCs w:val="24"/>
        </w:rPr>
        <w:t>közoktatási intézményi</w:t>
      </w:r>
      <w:r w:rsidRPr="00F94030">
        <w:rPr>
          <w:rFonts w:ascii="Times New Roman" w:hAnsi="Times New Roman"/>
          <w:color w:val="000000"/>
          <w:szCs w:val="24"/>
        </w:rPr>
        <w:t xml:space="preserve"> adatszolgáltatások megtétele, az Oktatási Hivatal hatósági tevékenységeinek támogatása.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Diákigazolvány kiadás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 xml:space="preserve">A közoktatási és felsőoktatási diákigazolványok </w:t>
      </w:r>
      <w:r>
        <w:rPr>
          <w:rFonts w:ascii="Times New Roman" w:hAnsi="Times New Roman"/>
          <w:color w:val="000000"/>
          <w:szCs w:val="24"/>
        </w:rPr>
        <w:t xml:space="preserve">ügyviteli feldolgozásának, </w:t>
      </w:r>
      <w:r w:rsidRPr="00F94030">
        <w:rPr>
          <w:rFonts w:ascii="Times New Roman" w:hAnsi="Times New Roman"/>
          <w:color w:val="000000"/>
          <w:szCs w:val="24"/>
        </w:rPr>
        <w:t>kiadásának hatósági eljárásának támogatása,</w:t>
      </w:r>
      <w:r>
        <w:rPr>
          <w:rFonts w:ascii="Times New Roman" w:hAnsi="Times New Roman"/>
          <w:color w:val="000000"/>
          <w:szCs w:val="24"/>
        </w:rPr>
        <w:t xml:space="preserve"> tájékoztatási feladat</w:t>
      </w:r>
      <w:r w:rsidRPr="00F94030">
        <w:rPr>
          <w:rFonts w:ascii="Times New Roman" w:hAnsi="Times New Roman"/>
          <w:color w:val="000000"/>
          <w:szCs w:val="24"/>
        </w:rPr>
        <w:t xml:space="preserve"> bonyolítás</w:t>
      </w:r>
      <w:r>
        <w:rPr>
          <w:rFonts w:ascii="Times New Roman" w:hAnsi="Times New Roman"/>
          <w:color w:val="000000"/>
          <w:szCs w:val="24"/>
        </w:rPr>
        <w:t>a. A feladat ellátásához szükséges informatikai szolgáltatások üzemeltetése és fejlesztése.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 xml:space="preserve">Diákigazolvány </w:t>
      </w:r>
      <w:r w:rsidRPr="00F94030">
        <w:rPr>
          <w:rFonts w:ascii="Times New Roman" w:hAnsi="Times New Roman"/>
          <w:b/>
          <w:color w:val="000000"/>
          <w:szCs w:val="24"/>
        </w:rPr>
        <w:t>Kedvezményrendszer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 xml:space="preserve">A diákigazolványokhoz kapcsolódó </w:t>
      </w:r>
      <w:r>
        <w:rPr>
          <w:rFonts w:ascii="Times New Roman" w:hAnsi="Times New Roman"/>
          <w:color w:val="000000"/>
          <w:szCs w:val="24"/>
        </w:rPr>
        <w:t xml:space="preserve">országos </w:t>
      </w:r>
      <w:r w:rsidRPr="00F94030">
        <w:rPr>
          <w:rFonts w:ascii="Times New Roman" w:hAnsi="Times New Roman"/>
          <w:color w:val="000000"/>
          <w:szCs w:val="24"/>
        </w:rPr>
        <w:t>kereskedelmi kedvezmények rendszerének fejlesztése, fenntartása, tájékoztató kiadványok kiadása.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Hitelesítés szolgáltatás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 xml:space="preserve">Fokozott biztonságú nyílt digitális aláíráshoz kapcsolódó hitelesítés szolgáltatás fenntartása. 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ASPECT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Az EUN által szervezett, a tagországok közötti digitális tartalomcserét biztosító fejlesztések és szolgáltatás fenntartás.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eTwinning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Az EUN által szervezett etwinning Program Nemzeti Irodájának üzemeltetése.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EuoPASS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Az EuroPASS Nemzeti Iroda működtetése.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EISZ Nemzeti Alapprogram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Az EISZ Bizottság által meghatározott kutatási adatbázisok nemzeti szolgáltatásának fejlesztése és fenntartása</w:t>
      </w: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7F6C88">
      <w:pPr>
        <w:pStyle w:val="Norml2"/>
        <w:spacing w:after="0"/>
        <w:rPr>
          <w:rFonts w:ascii="Times New Roman" w:hAnsi="Times New Roman"/>
          <w:b/>
          <w:color w:val="000000"/>
          <w:szCs w:val="24"/>
        </w:rPr>
      </w:pPr>
      <w:r w:rsidRPr="00F94030">
        <w:rPr>
          <w:rFonts w:ascii="Times New Roman" w:hAnsi="Times New Roman"/>
          <w:b/>
          <w:color w:val="000000"/>
          <w:szCs w:val="24"/>
        </w:rPr>
        <w:t>EDUCATIO Kiállítás 2011</w:t>
      </w:r>
    </w:p>
    <w:p w:rsidR="004F3708" w:rsidRPr="00F94030" w:rsidRDefault="004F3708" w:rsidP="007F6C88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Az EDUCATIO Nemzetközi Oktatási Szakkiállítás és Vásár éves rendezvényének teljes körű szervezése.</w:t>
      </w:r>
    </w:p>
    <w:p w:rsidR="004F3708" w:rsidRPr="00F94030" w:rsidRDefault="004F3708" w:rsidP="00C0044A">
      <w:pPr>
        <w:pStyle w:val="Norml2"/>
        <w:spacing w:after="0"/>
        <w:ind w:left="567"/>
        <w:rPr>
          <w:rFonts w:ascii="Times New Roman" w:hAnsi="Times New Roman"/>
          <w:color w:val="000000"/>
          <w:szCs w:val="24"/>
        </w:rPr>
      </w:pPr>
      <w:r w:rsidRPr="00F94030">
        <w:rPr>
          <w:rFonts w:ascii="Times New Roman" w:hAnsi="Times New Roman"/>
          <w:color w:val="000000"/>
          <w:szCs w:val="24"/>
        </w:rPr>
        <w:t>.</w:t>
      </w:r>
    </w:p>
    <w:p w:rsidR="004F3708" w:rsidRPr="00F94030" w:rsidRDefault="004F3708" w:rsidP="00C0044A">
      <w:pPr>
        <w:pStyle w:val="Norml2"/>
        <w:spacing w:after="0"/>
        <w:ind w:left="720"/>
        <w:rPr>
          <w:rFonts w:ascii="Times New Roman" w:hAnsi="Times New Roman"/>
          <w:color w:val="000000"/>
          <w:szCs w:val="24"/>
        </w:rPr>
      </w:pPr>
    </w:p>
    <w:p w:rsidR="004F3708" w:rsidRPr="00F94030" w:rsidRDefault="004F3708" w:rsidP="00F94030">
      <w:pPr>
        <w:pStyle w:val="Norml2"/>
        <w:spacing w:after="0"/>
        <w:rPr>
          <w:rFonts w:ascii="Times New Roman" w:hAnsi="Times New Roman"/>
          <w:b/>
          <w:i/>
          <w:color w:val="000000"/>
          <w:szCs w:val="24"/>
          <w:u w:val="single"/>
        </w:rPr>
      </w:pPr>
      <w:r w:rsidRPr="00F94030">
        <w:rPr>
          <w:rFonts w:ascii="Times New Roman" w:hAnsi="Times New Roman"/>
          <w:b/>
          <w:i/>
          <w:color w:val="000000"/>
          <w:szCs w:val="24"/>
          <w:u w:val="single"/>
        </w:rPr>
        <w:t>A szervezet működését érdemben befolyásoló tényezők:</w:t>
      </w:r>
    </w:p>
    <w:p w:rsidR="004F3708" w:rsidRPr="00F94030" w:rsidRDefault="004F3708" w:rsidP="00F94030">
      <w:pPr>
        <w:spacing w:after="0"/>
        <w:jc w:val="both"/>
        <w:rPr>
          <w:rFonts w:ascii="Times New Roman" w:hAnsi="Times New Roman"/>
        </w:rPr>
      </w:pPr>
    </w:p>
    <w:p w:rsidR="004F3708" w:rsidRPr="00F94030" w:rsidRDefault="004F3708" w:rsidP="00F94030">
      <w:pPr>
        <w:spacing w:after="0"/>
        <w:jc w:val="both"/>
        <w:rPr>
          <w:rFonts w:ascii="Times New Roman" w:hAnsi="Times New Roman"/>
        </w:rPr>
      </w:pPr>
      <w:r w:rsidRPr="00F94030">
        <w:rPr>
          <w:rFonts w:ascii="Times New Roman" w:hAnsi="Times New Roman"/>
        </w:rPr>
        <w:t>A társaság 2009. december 31-i fordulónappal elkészítette a 2009. évi gazdálkodásáról szóló számviteli beszámolóját, közhasznú jelentését. A beszámoló nyilvánosságra hozatalához és cégbírósági letétbe helyezéséhez szükséges az alapító jóváhagyása, a határidő 2010. május 30.</w:t>
      </w:r>
    </w:p>
    <w:p w:rsidR="004F3708" w:rsidRPr="00F94030" w:rsidRDefault="004F3708" w:rsidP="00F94030">
      <w:pPr>
        <w:spacing w:after="0"/>
        <w:jc w:val="both"/>
        <w:rPr>
          <w:rFonts w:ascii="Times New Roman" w:hAnsi="Times New Roman"/>
        </w:rPr>
      </w:pPr>
    </w:p>
    <w:p w:rsidR="004F3708" w:rsidRPr="00F94030" w:rsidRDefault="004F3708" w:rsidP="00F94030">
      <w:pPr>
        <w:spacing w:after="0"/>
        <w:jc w:val="both"/>
        <w:rPr>
          <w:rFonts w:ascii="Times New Roman" w:hAnsi="Times New Roman"/>
        </w:rPr>
      </w:pPr>
      <w:r w:rsidRPr="00F94030">
        <w:rPr>
          <w:rFonts w:ascii="Times New Roman" w:hAnsi="Times New Roman"/>
        </w:rPr>
        <w:t>A társaság elkészítette és tulajdonosi döntésre előterjesztette a 2010. évre vonatkozó üzleti tervét. Az üzleti terv jóváhagyása eddig nem történt meg. Az üzleti tervben, illetve a közhasznú megállapodásban rögzített feladatok ellátása folyamatos. A forrásokra vonatkozó szerződések megkötésének késedelme</w:t>
      </w:r>
      <w:r>
        <w:rPr>
          <w:rFonts w:ascii="Times New Roman" w:hAnsi="Times New Roman"/>
        </w:rPr>
        <w:t xml:space="preserve"> (működési támogatási szerződés, egyes feladatokhoz, részben az Oktatási Hivatallal történő munkamegosztásban ellátandó feladatokra vonatkozó szerződések)</w:t>
      </w:r>
      <w:r w:rsidRPr="00F9403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Pr="00F94030">
        <w:rPr>
          <w:rFonts w:ascii="Times New Roman" w:hAnsi="Times New Roman"/>
        </w:rPr>
        <w:t>a feladatellátás szintjének, a társaság és az Oktatási Hivatal munkamegosztásának rendjére vonatkozó döntések meghozatalának elhúzódása  és a finanszírozásban mutatkozó elmaradás a társaság likviditási helyzetét kritikussá teszi.</w:t>
      </w:r>
    </w:p>
    <w:p w:rsidR="004F3708" w:rsidRPr="00F94030" w:rsidRDefault="004F3708" w:rsidP="00F94030">
      <w:pPr>
        <w:spacing w:after="0"/>
        <w:jc w:val="both"/>
        <w:rPr>
          <w:rFonts w:ascii="Times New Roman" w:hAnsi="Times New Roman" w:cs="Calibri"/>
        </w:rPr>
      </w:pPr>
      <w:r w:rsidRPr="00F94030">
        <w:rPr>
          <w:rFonts w:ascii="Times New Roman" w:hAnsi="Times New Roman"/>
        </w:rPr>
        <w:t xml:space="preserve">Szintén súlyosan érinti a likviditási helyzetet az európai uniós programokkal kapcsolatos problémakör, </w:t>
      </w:r>
      <w:r w:rsidRPr="00F94030">
        <w:rPr>
          <w:rFonts w:ascii="Times New Roman" w:hAnsi="Times New Roman" w:cs="Calibri"/>
        </w:rPr>
        <w:t>amelyre az üzleti tervben is kitértünk a következők szerint.</w:t>
      </w:r>
    </w:p>
    <w:p w:rsidR="004F3708" w:rsidRPr="00F94030" w:rsidRDefault="004F3708" w:rsidP="00F94030">
      <w:pPr>
        <w:jc w:val="both"/>
        <w:rPr>
          <w:rFonts w:ascii="Times New Roman" w:hAnsi="Times New Roman" w:cs="Calibri"/>
        </w:rPr>
      </w:pPr>
      <w:r w:rsidRPr="00F94030">
        <w:rPr>
          <w:rFonts w:ascii="Times New Roman" w:hAnsi="Times New Roman" w:cs="Calibri"/>
        </w:rPr>
        <w:t>Bizonytalan a TÁMOP 3.3.1. program második szakaszára vonatkozó szerződéskötés időpontja. A központi programokra beadott pályázatok esetében a program megvalósítása saját kockázatra megkezdhető. A szakmai oldalról megjelenő erős nyomás és különböző komoly szakmai indokok és összefüggések kikényszerítenek kötelezettségvállalásokat, de ezek finanszírozása a támogatásból csak a szerződéskötés és a szerződéskötést követő adminisztratív procedúrák után lehetséges, így a korábbi tapasztalataink szerint a szakmai teljesítések és a támogatói finanszírozás között akár egy évet meghaladó különbség lehet.</w:t>
      </w:r>
    </w:p>
    <w:p w:rsidR="004F3708" w:rsidRPr="00F94030" w:rsidRDefault="004F3708" w:rsidP="00F94030">
      <w:pPr>
        <w:jc w:val="both"/>
        <w:rPr>
          <w:rFonts w:ascii="Times New Roman" w:hAnsi="Times New Roman" w:cs="Calibri"/>
        </w:rPr>
      </w:pPr>
      <w:r w:rsidRPr="00F94030">
        <w:rPr>
          <w:rFonts w:ascii="Times New Roman" w:hAnsi="Times New Roman" w:cs="Calibri"/>
        </w:rPr>
        <w:t>Ilyen helyzet fog kialakulni az év második felében a TÁMOP 3.1.1. és a TÁMOP 4.1.3. programok első szakaszának lezárását követően is.</w:t>
      </w:r>
    </w:p>
    <w:p w:rsidR="004F3708" w:rsidRPr="00F94030" w:rsidRDefault="004F3708" w:rsidP="00F94030">
      <w:pPr>
        <w:jc w:val="both"/>
        <w:rPr>
          <w:rFonts w:ascii="Times New Roman" w:hAnsi="Times New Roman" w:cs="Calibri"/>
        </w:rPr>
      </w:pPr>
      <w:r>
        <w:rPr>
          <w:rFonts w:ascii="Times New Roman" w:hAnsi="Times New Roman" w:cs="Calibri"/>
        </w:rPr>
        <w:t>Szintén tapasztalat, hogy nehezen</w:t>
      </w:r>
      <w:r w:rsidRPr="00F94030">
        <w:rPr>
          <w:rFonts w:ascii="Times New Roman" w:hAnsi="Times New Roman" w:cs="Calibri"/>
        </w:rPr>
        <w:t xml:space="preserve"> finanszírozható késedelemmel kell számolnunk a benyújtott elszámolások ellenőrzésének folyamatában, illetve a támogatás ezt követő utalásában.</w:t>
      </w:r>
    </w:p>
    <w:p w:rsidR="004F3708" w:rsidRPr="00F94030" w:rsidRDefault="004F3708" w:rsidP="00F94030">
      <w:pPr>
        <w:jc w:val="both"/>
        <w:rPr>
          <w:rFonts w:ascii="Times New Roman" w:hAnsi="Times New Roman" w:cs="Calibri"/>
        </w:rPr>
      </w:pPr>
      <w:r w:rsidRPr="00F94030">
        <w:rPr>
          <w:rFonts w:ascii="Times New Roman" w:hAnsi="Times New Roman" w:cs="Calibri"/>
        </w:rPr>
        <w:t>Az EU-s támogatások szerződéses feltétele szerint a támogatási összegeket elkülönített számlán kell vezetni. A TÁMOP pénzügyi bonyolításánál a kifizetés csak az adott számláról tehető és a számlára érkező támogatás esetleg fel nem használt része más program, feladat finanszírozására nem fordítható.</w:t>
      </w:r>
    </w:p>
    <w:p w:rsidR="004F3708" w:rsidRPr="00F94030" w:rsidRDefault="004F3708" w:rsidP="00F94030">
      <w:pPr>
        <w:jc w:val="both"/>
        <w:rPr>
          <w:rFonts w:ascii="Times New Roman" w:hAnsi="Times New Roman" w:cs="Calibri"/>
        </w:rPr>
      </w:pPr>
      <w:r w:rsidRPr="00F94030">
        <w:rPr>
          <w:rFonts w:ascii="Times New Roman" w:hAnsi="Times New Roman" w:cs="Calibri"/>
        </w:rPr>
        <w:t xml:space="preserve">Az EU-s programok keretében érkező támogatások felhasználása csak a szakmai megvalósítás időszakában használhatóak fel. A szakmai munkák befejezését követően azonban még jelentős költségek merülnek fel a támogatás elszámolásával kapcsolatban. Ebben az időszakban kell elkészíteni a program záró szakmai és pénzügyi beszámolóját, amely több hónapos, komoly erőforrásigénnyel jár és finanszírozási igényt jelent, amelynek a jelenlegi üzleti tervezéskor nincs meg a fedezete. </w:t>
      </w:r>
    </w:p>
    <w:p w:rsidR="004F3708" w:rsidRDefault="004F3708" w:rsidP="00F94030">
      <w:pPr>
        <w:jc w:val="both"/>
        <w:rPr>
          <w:rFonts w:ascii="Times New Roman" w:hAnsi="Times New Roman" w:cs="Calibri"/>
        </w:rPr>
      </w:pPr>
      <w:r w:rsidRPr="00F94030">
        <w:rPr>
          <w:rFonts w:ascii="Times New Roman" w:hAnsi="Times New Roman" w:cs="Calibri"/>
        </w:rPr>
        <w:t>A likviditási helyzetre is komoly hatással van az a körülmény is, hogy mind a HEFOP, mind a TÁMOP elszámolásakor rendkívül komoly adminisztrációs előírásoknak kell megfelelni (meg kell jegyezni, hogy a HEFOP végrehajtása során a szabályok még menet közben is gyakran módosultak), így elfogadottan 5-10 %-ban szokás meghatározni a visszautasított (a támogatásból meg nem térülő) tételek arányát. A jelen üzleti tervben – a tervezhető források jelentősen korlátozott voltára is tekintettel - 1 %-ban határoztuk meg visszautasított tételek arányát és további OKM támogatást jelöltünk meg ezek forrásaként. A visszautasított tételek tervezett összegének minimalizálása azonban további kockázati tényezőt jelent. Változatlanul nincs kidolgozott koncepció arra, hogy a több milliárdos programok végrehajtása során a visszautasított tételek milyen forrás terhére, technikailag hogyan elszámolhatóak és likviditásban ez hogyan kezelhető.</w:t>
      </w:r>
    </w:p>
    <w:p w:rsidR="004F3708" w:rsidRDefault="004F3708" w:rsidP="00DE758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Calibri"/>
        </w:rPr>
        <w:t>Az európai uniós programokhoz kapcsolódó további megoldandó problémák:</w:t>
      </w:r>
      <w:r w:rsidRPr="00DE7586">
        <w:rPr>
          <w:rFonts w:ascii="Times New Roman" w:hAnsi="Times New Roman"/>
          <w:sz w:val="24"/>
        </w:rPr>
        <w:t xml:space="preserve"> </w:t>
      </w:r>
    </w:p>
    <w:p w:rsidR="004F3708" w:rsidRPr="005A756A" w:rsidRDefault="004F3708" w:rsidP="00DE7586">
      <w:pPr>
        <w:jc w:val="both"/>
        <w:rPr>
          <w:rFonts w:ascii="Times New Roman" w:hAnsi="Times New Roman"/>
          <w:sz w:val="24"/>
        </w:rPr>
      </w:pPr>
      <w:r w:rsidRPr="005A756A">
        <w:rPr>
          <w:rFonts w:ascii="Times New Roman" w:hAnsi="Times New Roman"/>
          <w:sz w:val="24"/>
        </w:rPr>
        <w:t>Az üzleti tervezés során évről évre visszatérő, a 2010. évben is jelentkező probléma az ÚMFT-vel kapcsolatos elszámolási szabályok közül az az ellentmondás, hogy miközben korlátok kerülnek felállításra a kiszerződött feladatok értékére, amely korlát 30% és (egyedi kérés esetén) 50% közöttire tehető, addig nem elszámolható költségként kell megjelenítenünk olyan munkavállalókhoz kapcsolódó költségeket, amelyek az alkalmazásukkor elkerülhetetlenül felmerülnek. Ilyen költségek például a rezsiköltségek.</w:t>
      </w:r>
    </w:p>
    <w:p w:rsidR="004F3708" w:rsidRPr="005A756A" w:rsidRDefault="004F3708" w:rsidP="00DE7586">
      <w:pPr>
        <w:jc w:val="both"/>
        <w:rPr>
          <w:rFonts w:ascii="Times New Roman" w:hAnsi="Times New Roman"/>
          <w:sz w:val="24"/>
        </w:rPr>
      </w:pPr>
      <w:r w:rsidRPr="005A756A">
        <w:rPr>
          <w:rFonts w:ascii="Times New Roman" w:hAnsi="Times New Roman"/>
          <w:sz w:val="24"/>
        </w:rPr>
        <w:t>Jelentős forrásigényt indukál az a szabály is, amely szerint az ÚMFT terhére nem elszámolhatóak bizonyos költségek, amelyek pedig bizonyíthatóan a feladatellátáshoz kapcsolódnak. Ilyen költség például a bankköltség, amely milliárdos programok lebonyolításánál több tízmillió forintos költséget okoz, amelynek finanszírozását egyéb forrásból kell biztosítani. Nem elszámolhatóak olyan általános költségek, amely a cég általános működtetésének költségei ugyan, de azok nagyságrendjére jelentős hatással van a társaság mérete, a beérkező és felhasználandó források volumene, így közvetten az ÚMFT keretében ellátandó feladatok nagyságrendje is (pl. céges könyvvizsgálattal kapcsolatos költségek, a pénzügyi, számviteli rendszerekkel kapcsolatos költségek stb.).</w:t>
      </w:r>
    </w:p>
    <w:p w:rsidR="004F3708" w:rsidRPr="005A756A" w:rsidRDefault="004F3708" w:rsidP="00DE7586">
      <w:pPr>
        <w:jc w:val="both"/>
        <w:rPr>
          <w:rFonts w:ascii="Times New Roman" w:hAnsi="Times New Roman"/>
          <w:sz w:val="24"/>
        </w:rPr>
      </w:pPr>
      <w:r w:rsidRPr="005A756A">
        <w:rPr>
          <w:rFonts w:ascii="Times New Roman" w:hAnsi="Times New Roman"/>
          <w:sz w:val="24"/>
        </w:rPr>
        <w:t xml:space="preserve">Szintén az ÚMFT szabálya a projektmenedzsment költségek korlátozása (6-7%), miközben a programok tervezésekor egyértelműnek látszik, hogy az nem elegendő az ilyen címen szükséges erőforrások finanszírozására (különös tekintettel a rendkívül nagymértékű adminisztrációs kötelezettségekre, amelyek a kötelezettségvállalásokhoz és az elszámolásokhoz kapcsolódnak). </w:t>
      </w:r>
    </w:p>
    <w:p w:rsidR="004F3708" w:rsidRPr="005A756A" w:rsidRDefault="004F3708" w:rsidP="00DE7586">
      <w:pPr>
        <w:jc w:val="both"/>
        <w:rPr>
          <w:rFonts w:ascii="Times New Roman" w:hAnsi="Times New Roman"/>
          <w:sz w:val="24"/>
        </w:rPr>
      </w:pPr>
      <w:r w:rsidRPr="005A756A">
        <w:rPr>
          <w:rFonts w:ascii="Times New Roman" w:hAnsi="Times New Roman"/>
          <w:sz w:val="24"/>
        </w:rPr>
        <w:t>Összességében az ÚMFT programok lebonyolítása miatt jelentkező, de a program szerződésének keretében el nem számolható költség 145 MFt, amelyet az OKM működési támogatás terhére terveztünk finanszírozni. Meg kell említeni azt az ellentmondást</w:t>
      </w:r>
      <w:r>
        <w:rPr>
          <w:rFonts w:ascii="Times New Roman" w:hAnsi="Times New Roman"/>
          <w:sz w:val="24"/>
        </w:rPr>
        <w:t xml:space="preserve"> is</w:t>
      </w:r>
      <w:r w:rsidRPr="005A756A">
        <w:rPr>
          <w:rFonts w:ascii="Times New Roman" w:hAnsi="Times New Roman"/>
          <w:sz w:val="24"/>
        </w:rPr>
        <w:t>, hogy miközben az OKM működési támogatása évről évre jelentősen csökken, a működési költségek – éppen az ÚMFT programok miatt</w:t>
      </w:r>
      <w:r>
        <w:rPr>
          <w:rFonts w:ascii="Times New Roman" w:hAnsi="Times New Roman"/>
          <w:sz w:val="24"/>
        </w:rPr>
        <w:t xml:space="preserve"> – jelentős növekednek</w:t>
      </w:r>
      <w:r w:rsidRPr="005A756A">
        <w:rPr>
          <w:rFonts w:ascii="Times New Roman" w:hAnsi="Times New Roman"/>
          <w:sz w:val="24"/>
        </w:rPr>
        <w:t>.</w:t>
      </w:r>
    </w:p>
    <w:p w:rsidR="004F3708" w:rsidRDefault="004F3708" w:rsidP="00DE7586">
      <w:pPr>
        <w:spacing w:after="0"/>
        <w:jc w:val="both"/>
      </w:pPr>
    </w:p>
    <w:p w:rsidR="004F3708" w:rsidRPr="008D0605" w:rsidRDefault="004F3708" w:rsidP="007F44C2">
      <w:pPr>
        <w:pStyle w:val="ListParagraph"/>
        <w:numPr>
          <w:ilvl w:val="0"/>
          <w:numId w:val="5"/>
        </w:numPr>
        <w:spacing w:after="0"/>
        <w:jc w:val="center"/>
        <w:rPr>
          <w:b/>
        </w:rPr>
      </w:pPr>
      <w:r w:rsidRPr="008D0605">
        <w:rPr>
          <w:b/>
        </w:rPr>
        <w:t>A szervezet felépítése</w:t>
      </w:r>
    </w:p>
    <w:p w:rsidR="004F3708" w:rsidRDefault="004F3708" w:rsidP="00DE7586">
      <w:pPr>
        <w:spacing w:after="0"/>
        <w:jc w:val="both"/>
        <w:rPr>
          <w:b/>
        </w:rPr>
      </w:pPr>
    </w:p>
    <w:p w:rsidR="004F3708" w:rsidRPr="00746962" w:rsidRDefault="004F3708" w:rsidP="0027650C">
      <w:pPr>
        <w:jc w:val="both"/>
        <w:rPr>
          <w:rFonts w:ascii="Times New Roman" w:hAnsi="Times New Roman"/>
          <w:sz w:val="24"/>
        </w:rPr>
      </w:pPr>
      <w:r w:rsidRPr="00746962">
        <w:rPr>
          <w:rFonts w:ascii="Times New Roman" w:hAnsi="Times New Roman"/>
          <w:sz w:val="24"/>
        </w:rPr>
        <w:t>A Társaság a 2010-ben elvégzendő feladatait egy kompetenciaelven alapuló, projektalapú szervezeti struktúrában látja el. Az egy kompetenciahalmaz köré szervezett igazgatóságokat alapvetően két csoportba oszthatjuk</w:t>
      </w:r>
      <w:r>
        <w:rPr>
          <w:rFonts w:ascii="Times New Roman" w:hAnsi="Times New Roman"/>
          <w:sz w:val="24"/>
        </w:rPr>
        <w:t>, úgynevezett szakmai és szolgáltató igazgatóságokra.</w:t>
      </w:r>
    </w:p>
    <w:p w:rsidR="004F3708" w:rsidRPr="00746962" w:rsidRDefault="004F3708" w:rsidP="00DE7586">
      <w:pPr>
        <w:jc w:val="both"/>
        <w:rPr>
          <w:rFonts w:ascii="Times New Roman" w:hAnsi="Times New Roman"/>
          <w:sz w:val="24"/>
        </w:rPr>
      </w:pPr>
      <w:r w:rsidRPr="00746962">
        <w:rPr>
          <w:rFonts w:ascii="Times New Roman" w:hAnsi="Times New Roman"/>
          <w:sz w:val="24"/>
        </w:rPr>
        <w:t>A szakmai igazgatóságok képviselik a Társaság feladatait lefedő szakterületeket. A projektekben a</w:t>
      </w:r>
      <w:r>
        <w:rPr>
          <w:rFonts w:ascii="Times New Roman" w:hAnsi="Times New Roman"/>
          <w:sz w:val="24"/>
        </w:rPr>
        <w:t xml:space="preserve"> feladatuk a Társaság </w:t>
      </w:r>
      <w:r w:rsidRPr="00746962">
        <w:rPr>
          <w:rFonts w:ascii="Times New Roman" w:hAnsi="Times New Roman"/>
          <w:sz w:val="24"/>
        </w:rPr>
        <w:t xml:space="preserve">szakmai stratégiájának megvalósítása, a szakmai minőségbiztosítási tevékenységek ellátása. A szolgáltató szervezeti egységek mindehhez a minőséget, szabályszerűséget, és nyomon követhetőséget biztosító szakmai szolgáltatások nyújtásával járulnak hozzá. </w:t>
      </w:r>
    </w:p>
    <w:p w:rsidR="004F3708" w:rsidRDefault="004F3708" w:rsidP="00DE7586">
      <w:pPr>
        <w:jc w:val="both"/>
        <w:rPr>
          <w:rFonts w:ascii="Times New Roman" w:hAnsi="Times New Roman"/>
          <w:sz w:val="24"/>
        </w:rPr>
      </w:pPr>
      <w:r w:rsidRPr="00746962">
        <w:rPr>
          <w:rFonts w:ascii="Times New Roman" w:hAnsi="Times New Roman"/>
          <w:sz w:val="24"/>
        </w:rPr>
        <w:t>A projekt végrehajtásáért a program- és a projektvezetők a felelősek. A hatékony és biztonságos nyomon követést, a megfelelő stratégiai és taktikai döntések előkészítését, az egységes működtetést a Társaság hatályos Egységes Projektirányítási Kézikönyve szabályozza. A projekteket</w:t>
      </w:r>
      <w:r>
        <w:rPr>
          <w:rFonts w:ascii="Times New Roman" w:hAnsi="Times New Roman"/>
          <w:sz w:val="24"/>
        </w:rPr>
        <w:t>,</w:t>
      </w:r>
      <w:r w:rsidRPr="00746962">
        <w:rPr>
          <w:rFonts w:ascii="Times New Roman" w:hAnsi="Times New Roman"/>
          <w:sz w:val="24"/>
        </w:rPr>
        <w:t xml:space="preserve"> függetlenül azok különböző szakmai tartalmától, egységes irányítási elvek mentén valósítjuk meg. Ez biztosítja a megfelelő portfolió menedzsment tevékenységeket és a külső elszámo</w:t>
      </w:r>
      <w:r>
        <w:rPr>
          <w:rFonts w:ascii="Times New Roman" w:hAnsi="Times New Roman"/>
          <w:sz w:val="24"/>
        </w:rPr>
        <w:t>lhatóság hatékonyságát.</w:t>
      </w:r>
    </w:p>
    <w:p w:rsidR="004F3708" w:rsidRPr="00746962" w:rsidRDefault="004F3708" w:rsidP="0027650C">
      <w:pPr>
        <w:jc w:val="both"/>
        <w:rPr>
          <w:rFonts w:ascii="Times New Roman" w:hAnsi="Times New Roman"/>
          <w:sz w:val="24"/>
        </w:rPr>
      </w:pPr>
      <w:r w:rsidRPr="00746962">
        <w:rPr>
          <w:rFonts w:ascii="Times New Roman" w:hAnsi="Times New Roman"/>
          <w:sz w:val="24"/>
        </w:rPr>
        <w:t xml:space="preserve">Az igazgatóságok (egyéb szervezeti egységek) csoportosítását mutatja be a következő táblázat: </w:t>
      </w:r>
    </w:p>
    <w:p w:rsidR="004F3708" w:rsidRPr="00746962" w:rsidRDefault="004F3708" w:rsidP="0027650C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9"/>
        <w:gridCol w:w="4813"/>
      </w:tblGrid>
      <w:tr w:rsidR="004F3708" w:rsidRPr="00E92C80" w:rsidTr="00FE6435">
        <w:trPr>
          <w:trHeight w:val="519"/>
        </w:trPr>
        <w:tc>
          <w:tcPr>
            <w:tcW w:w="5377" w:type="dxa"/>
            <w:vAlign w:val="center"/>
          </w:tcPr>
          <w:p w:rsidR="004F3708" w:rsidRPr="00E92C80" w:rsidRDefault="004F3708" w:rsidP="00AF39EF">
            <w:pPr>
              <w:jc w:val="center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„SZAKMAI”</w:t>
            </w:r>
          </w:p>
        </w:tc>
        <w:tc>
          <w:tcPr>
            <w:tcW w:w="5377" w:type="dxa"/>
            <w:vAlign w:val="center"/>
          </w:tcPr>
          <w:p w:rsidR="004F3708" w:rsidRPr="00E92C80" w:rsidRDefault="004F3708" w:rsidP="00AF39EF">
            <w:pPr>
              <w:jc w:val="center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„SZOLGÁLTATÓ”</w:t>
            </w:r>
          </w:p>
        </w:tc>
      </w:tr>
      <w:tr w:rsidR="004F3708" w:rsidRPr="00E92C80" w:rsidTr="00FE6435"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eLearning igazgatóság</w:t>
            </w:r>
          </w:p>
        </w:tc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gazdasági igazgatóság</w:t>
            </w:r>
          </w:p>
        </w:tc>
      </w:tr>
      <w:tr w:rsidR="004F3708" w:rsidRPr="00E92C80" w:rsidTr="00FE6435"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esélyegyenlőségi igazgatóság</w:t>
            </w:r>
          </w:p>
        </w:tc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projekt igazgatóság</w:t>
            </w:r>
          </w:p>
        </w:tc>
      </w:tr>
      <w:tr w:rsidR="004F3708" w:rsidRPr="00E92C80" w:rsidTr="00FE6435"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felsőoktatási igazgatóság</w:t>
            </w:r>
          </w:p>
        </w:tc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ügyfélszolgálat, üzemeltetési igazgatóság</w:t>
            </w:r>
          </w:p>
        </w:tc>
      </w:tr>
      <w:tr w:rsidR="004F3708" w:rsidRPr="00E92C80" w:rsidTr="00FE6435"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közoktatási igazgatóság</w:t>
            </w:r>
          </w:p>
        </w:tc>
        <w:tc>
          <w:tcPr>
            <w:tcW w:w="5377" w:type="dxa"/>
            <w:vAlign w:val="center"/>
          </w:tcPr>
          <w:p w:rsidR="004F3708" w:rsidRPr="00E92C80" w:rsidRDefault="004F3708" w:rsidP="00FE6435">
            <w:pPr>
              <w:jc w:val="both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HR; jog-és beszerzés, oktatásszervezés</w:t>
            </w:r>
          </w:p>
        </w:tc>
      </w:tr>
      <w:tr w:rsidR="004F3708" w:rsidRPr="00E92C80" w:rsidTr="00FE6435">
        <w:tc>
          <w:tcPr>
            <w:tcW w:w="10754" w:type="dxa"/>
            <w:gridSpan w:val="2"/>
            <w:vAlign w:val="center"/>
          </w:tcPr>
          <w:p w:rsidR="004F3708" w:rsidRPr="00E92C80" w:rsidRDefault="004F3708" w:rsidP="00FE6435">
            <w:pPr>
              <w:jc w:val="center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informatikai igazgatóság</w:t>
            </w:r>
          </w:p>
        </w:tc>
      </w:tr>
      <w:tr w:rsidR="004F3708" w:rsidRPr="00E92C80" w:rsidTr="00FE6435">
        <w:tc>
          <w:tcPr>
            <w:tcW w:w="10754" w:type="dxa"/>
            <w:gridSpan w:val="2"/>
            <w:vAlign w:val="center"/>
          </w:tcPr>
          <w:p w:rsidR="004F3708" w:rsidRPr="00E92C80" w:rsidRDefault="004F3708" w:rsidP="00FE6435">
            <w:pPr>
              <w:jc w:val="center"/>
              <w:rPr>
                <w:rFonts w:ascii="Times New Roman" w:hAnsi="Times New Roman"/>
                <w:sz w:val="24"/>
              </w:rPr>
            </w:pPr>
            <w:r w:rsidRPr="00E92C80">
              <w:rPr>
                <w:rFonts w:ascii="Times New Roman" w:hAnsi="Times New Roman"/>
                <w:sz w:val="24"/>
              </w:rPr>
              <w:t>kommunikációs igazgatóság</w:t>
            </w:r>
          </w:p>
        </w:tc>
      </w:tr>
    </w:tbl>
    <w:p w:rsidR="004F3708" w:rsidRDefault="004F3708" w:rsidP="00DE7586">
      <w:pPr>
        <w:jc w:val="both"/>
        <w:rPr>
          <w:rFonts w:ascii="Times New Roman" w:hAnsi="Times New Roman"/>
          <w:sz w:val="24"/>
        </w:rPr>
      </w:pPr>
    </w:p>
    <w:p w:rsidR="004F3708" w:rsidRDefault="004F3708" w:rsidP="00DE7586">
      <w:pPr>
        <w:jc w:val="both"/>
        <w:rPr>
          <w:rFonts w:ascii="Times New Roman" w:hAnsi="Times New Roman"/>
          <w:sz w:val="24"/>
        </w:rPr>
      </w:pPr>
    </w:p>
    <w:p w:rsidR="004F3708" w:rsidRDefault="004F3708" w:rsidP="00DE758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társaság szervezeti egységeinek további tagolódása az 1. számú mellékletben található.</w:t>
      </w:r>
    </w:p>
    <w:p w:rsidR="004F3708" w:rsidRPr="00746962" w:rsidRDefault="004F3708" w:rsidP="00DE7586">
      <w:pPr>
        <w:jc w:val="both"/>
        <w:rPr>
          <w:rFonts w:ascii="Times New Roman" w:hAnsi="Times New Roman"/>
          <w:sz w:val="24"/>
        </w:rPr>
      </w:pPr>
    </w:p>
    <w:p w:rsidR="004F3708" w:rsidRPr="00746962" w:rsidRDefault="004F3708" w:rsidP="00D10556">
      <w:pPr>
        <w:jc w:val="both"/>
        <w:rPr>
          <w:rFonts w:ascii="Times New Roman" w:hAnsi="Times New Roman"/>
          <w:snapToGrid w:val="0"/>
          <w:sz w:val="24"/>
        </w:rPr>
      </w:pPr>
    </w:p>
    <w:p w:rsidR="004F3708" w:rsidRDefault="004F3708" w:rsidP="00790C50">
      <w:pPr>
        <w:pStyle w:val="ListParagraph"/>
        <w:numPr>
          <w:ilvl w:val="0"/>
          <w:numId w:val="5"/>
        </w:numPr>
        <w:spacing w:after="0"/>
        <w:jc w:val="center"/>
        <w:rPr>
          <w:b/>
        </w:rPr>
      </w:pPr>
      <w:r w:rsidRPr="00790C50">
        <w:rPr>
          <w:b/>
        </w:rPr>
        <w:t xml:space="preserve">Székhely és telephelyek felsorolása, az ott foglalkoztatottak átlagos állományi létszáma 2010. </w:t>
      </w:r>
      <w:r>
        <w:rPr>
          <w:b/>
        </w:rPr>
        <w:t xml:space="preserve">május 14-ei állapot szerint </w:t>
      </w:r>
    </w:p>
    <w:p w:rsidR="004F3708" w:rsidRDefault="004F3708" w:rsidP="003F2838">
      <w:pPr>
        <w:spacing w:after="0"/>
        <w:jc w:val="center"/>
        <w:rPr>
          <w:b/>
        </w:rPr>
      </w:pPr>
    </w:p>
    <w:tbl>
      <w:tblPr>
        <w:tblW w:w="5659" w:type="dxa"/>
        <w:jc w:val="center"/>
        <w:tblInd w:w="-23" w:type="dxa"/>
        <w:tblCellMar>
          <w:left w:w="0" w:type="dxa"/>
          <w:right w:w="0" w:type="dxa"/>
        </w:tblCellMar>
        <w:tblLook w:val="00A0"/>
      </w:tblPr>
      <w:tblGrid>
        <w:gridCol w:w="1340"/>
        <w:gridCol w:w="4159"/>
        <w:gridCol w:w="870"/>
      </w:tblGrid>
      <w:tr w:rsidR="004F3708" w:rsidRPr="00E92C80" w:rsidTr="00866165">
        <w:trPr>
          <w:trHeight w:val="300"/>
          <w:jc w:val="center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/>
        </w:tc>
        <w:tc>
          <w:tcPr>
            <w:tcW w:w="41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rPr>
                <w:color w:val="000000"/>
              </w:rPr>
            </w:pPr>
            <w:r w:rsidRPr="00E92C80">
              <w:rPr>
                <w:color w:val="000000"/>
              </w:rPr>
              <w:t>Székhely/telephely</w:t>
            </w:r>
          </w:p>
        </w:tc>
        <w:tc>
          <w:tcPr>
            <w:tcW w:w="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CE5FB5">
            <w:pPr>
              <w:jc w:val="center"/>
              <w:rPr>
                <w:color w:val="000000"/>
              </w:rPr>
            </w:pPr>
            <w:r w:rsidRPr="00E92C80">
              <w:rPr>
                <w:color w:val="000000"/>
              </w:rPr>
              <w:t>Létszám (fő)</w:t>
            </w:r>
          </w:p>
        </w:tc>
      </w:tr>
      <w:tr w:rsidR="004F3708" w:rsidRPr="00E92C80" w:rsidTr="00866165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rPr>
                <w:color w:val="000000"/>
              </w:rPr>
            </w:pPr>
            <w:r w:rsidRPr="00E92C80">
              <w:rPr>
                <w:color w:val="000000"/>
              </w:rPr>
              <w:t>Székhely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rPr>
                <w:color w:val="000000"/>
              </w:rPr>
            </w:pPr>
            <w:r w:rsidRPr="00E92C80">
              <w:rPr>
                <w:color w:val="000000"/>
              </w:rPr>
              <w:t>Budapest, Váci út 37.</w:t>
            </w: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jc w:val="right"/>
              <w:rPr>
                <w:color w:val="000000"/>
              </w:rPr>
            </w:pPr>
            <w:r w:rsidRPr="00E92C80">
              <w:rPr>
                <w:color w:val="000000"/>
              </w:rPr>
              <w:t>341</w:t>
            </w:r>
          </w:p>
        </w:tc>
      </w:tr>
      <w:tr w:rsidR="004F3708" w:rsidRPr="00E92C80" w:rsidTr="00866165">
        <w:trPr>
          <w:trHeight w:val="300"/>
          <w:jc w:val="center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3708" w:rsidRPr="00E92C80" w:rsidRDefault="004F3708">
            <w:pPr>
              <w:jc w:val="center"/>
              <w:rPr>
                <w:color w:val="000000"/>
              </w:rPr>
            </w:pPr>
            <w:r w:rsidRPr="00E92C80">
              <w:rPr>
                <w:color w:val="000000"/>
              </w:rPr>
              <w:t>Telephelyek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rPr>
                <w:color w:val="000000"/>
              </w:rPr>
            </w:pPr>
            <w:r w:rsidRPr="00E92C80">
              <w:rPr>
                <w:color w:val="000000"/>
              </w:rPr>
              <w:t>Győr, Liszt Ferenc u.40.</w:t>
            </w: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jc w:val="right"/>
              <w:rPr>
                <w:color w:val="000000"/>
              </w:rPr>
            </w:pPr>
            <w:r w:rsidRPr="00E92C80">
              <w:rPr>
                <w:color w:val="000000"/>
              </w:rPr>
              <w:t>11</w:t>
            </w:r>
          </w:p>
        </w:tc>
      </w:tr>
      <w:tr w:rsidR="004F3708" w:rsidRPr="00E92C80" w:rsidTr="00866165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08" w:rsidRPr="00E92C80" w:rsidRDefault="004F3708">
            <w:pPr>
              <w:rPr>
                <w:color w:val="000000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rPr>
                <w:color w:val="000000"/>
              </w:rPr>
            </w:pPr>
            <w:r w:rsidRPr="00E92C80">
              <w:rPr>
                <w:color w:val="000000"/>
              </w:rPr>
              <w:t>Pilisborosjenő, Fő út 1.</w:t>
            </w: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jc w:val="right"/>
              <w:rPr>
                <w:color w:val="000000"/>
              </w:rPr>
            </w:pPr>
            <w:r w:rsidRPr="00E92C80">
              <w:rPr>
                <w:color w:val="000000"/>
              </w:rPr>
              <w:t>25</w:t>
            </w:r>
          </w:p>
        </w:tc>
      </w:tr>
      <w:tr w:rsidR="004F3708" w:rsidRPr="00E92C80" w:rsidTr="00866165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3708" w:rsidRPr="00E92C80" w:rsidRDefault="004F3708">
            <w:pPr>
              <w:rPr>
                <w:color w:val="000000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rPr>
                <w:color w:val="000000"/>
              </w:rPr>
            </w:pPr>
            <w:r w:rsidRPr="00E92C80">
              <w:rPr>
                <w:color w:val="000000"/>
              </w:rPr>
              <w:t>Budapest, Reviczky u. 6. és Múzeum u.17.</w:t>
            </w: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jc w:val="right"/>
              <w:rPr>
                <w:color w:val="000000"/>
              </w:rPr>
            </w:pPr>
            <w:r w:rsidRPr="00E92C80">
              <w:rPr>
                <w:color w:val="000000"/>
              </w:rPr>
              <w:t>70</w:t>
            </w:r>
          </w:p>
        </w:tc>
      </w:tr>
      <w:tr w:rsidR="004F3708" w:rsidRPr="00E92C80" w:rsidTr="00866165">
        <w:trPr>
          <w:trHeight w:val="300"/>
          <w:jc w:val="center"/>
        </w:trPr>
        <w:tc>
          <w:tcPr>
            <w:tcW w:w="1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/>
        </w:tc>
        <w:tc>
          <w:tcPr>
            <w:tcW w:w="41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/>
        </w:tc>
        <w:tc>
          <w:tcPr>
            <w:tcW w:w="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>
            <w:pPr>
              <w:jc w:val="right"/>
              <w:rPr>
                <w:b/>
                <w:bCs/>
                <w:color w:val="000000"/>
              </w:rPr>
            </w:pPr>
            <w:r w:rsidRPr="00E92C80">
              <w:rPr>
                <w:b/>
                <w:bCs/>
                <w:color w:val="000000"/>
              </w:rPr>
              <w:t>447</w:t>
            </w:r>
          </w:p>
        </w:tc>
      </w:tr>
    </w:tbl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spacing w:after="0"/>
        <w:jc w:val="center"/>
        <w:rPr>
          <w:b/>
        </w:rPr>
      </w:pPr>
    </w:p>
    <w:p w:rsidR="004F3708" w:rsidRDefault="004F3708" w:rsidP="003F2838">
      <w:pPr>
        <w:pStyle w:val="ListParagraph"/>
        <w:numPr>
          <w:ilvl w:val="0"/>
          <w:numId w:val="5"/>
        </w:numPr>
        <w:spacing w:after="0"/>
        <w:jc w:val="center"/>
        <w:rPr>
          <w:b/>
        </w:rPr>
      </w:pPr>
      <w:r w:rsidRPr="003F2838">
        <w:rPr>
          <w:b/>
        </w:rPr>
        <w:t>A szervezet pénzügyi helyzete (millió forint)</w:t>
      </w:r>
    </w:p>
    <w:p w:rsidR="004F3708" w:rsidRDefault="004F3708" w:rsidP="008C3255">
      <w:pPr>
        <w:spacing w:after="0"/>
        <w:rPr>
          <w:b/>
        </w:rPr>
      </w:pPr>
    </w:p>
    <w:p w:rsidR="004F3708" w:rsidRPr="008C3255" w:rsidRDefault="004F3708" w:rsidP="008C3255">
      <w:pPr>
        <w:spacing w:after="0"/>
        <w:jc w:val="center"/>
        <w:rPr>
          <w:b/>
        </w:rPr>
      </w:pP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732"/>
        <w:gridCol w:w="3087"/>
        <w:gridCol w:w="1418"/>
        <w:gridCol w:w="1276"/>
      </w:tblGrid>
      <w:tr w:rsidR="004F3708" w:rsidRPr="00E92C80" w:rsidTr="00701005">
        <w:trPr>
          <w:trHeight w:val="480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hu-HU"/>
              </w:rPr>
            </w:pPr>
            <w:r w:rsidRPr="008C3255">
              <w:rPr>
                <w:rFonts w:ascii="Times New Roman" w:hAnsi="Times New Roman"/>
                <w:b/>
                <w:bCs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hu-HU"/>
              </w:rPr>
            </w:pPr>
            <w:r w:rsidRPr="008C3255">
              <w:rPr>
                <w:rFonts w:ascii="Times New Roman" w:hAnsi="Times New Roman"/>
                <w:b/>
                <w:bCs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8C3255">
              <w:rPr>
                <w:rFonts w:ascii="Times New Roman" w:hAnsi="Times New Roman"/>
                <w:sz w:val="18"/>
                <w:szCs w:val="18"/>
                <w:lang w:eastAsia="hu-HU"/>
              </w:rPr>
              <w:t>2009. december. 31-ei fordulónappal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8C3255">
              <w:rPr>
                <w:rFonts w:ascii="Times New Roman" w:hAnsi="Times New Roman"/>
                <w:sz w:val="18"/>
                <w:szCs w:val="18"/>
                <w:lang w:eastAsia="hu-HU"/>
              </w:rPr>
              <w:t>2010. május 14-ei állapot</w:t>
            </w:r>
            <w:r>
              <w:rPr>
                <w:rFonts w:ascii="Times New Roman" w:hAnsi="Times New Roman"/>
                <w:sz w:val="18"/>
                <w:szCs w:val="18"/>
                <w:lang w:eastAsia="hu-HU"/>
              </w:rPr>
              <w:t>**</w:t>
            </w:r>
          </w:p>
        </w:tc>
      </w:tr>
      <w:tr w:rsidR="004F3708" w:rsidRPr="00E92C80" w:rsidTr="00701005">
        <w:trPr>
          <w:trHeight w:val="25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Bevételek*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6 908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2 117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ebből: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központi költségvetési támogatás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alapítótól kapott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1 363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459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3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EU által társfinanszírozott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elkülönített állami pénzalaptól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passzívan elhatárolt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3 346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2 855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4F3708">
            <w:pPr>
              <w:spacing w:after="0" w:line="240" w:lineRule="auto"/>
              <w:ind w:firstLineChars="100" w:firstLine="3168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előző évek aktív elhatárolásának megszüntetése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1 662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3 280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Aktívan elhatárolt bevétel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3 280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3 040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Passzív időbeli elhatárolásból feloldott bevétel</w:t>
            </w:r>
          </w:p>
        </w:tc>
        <w:tc>
          <w:tcPr>
            <w:tcW w:w="30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3 737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3 346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Készletek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57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Követelések (vevők)</w:t>
            </w:r>
          </w:p>
        </w:tc>
        <w:tc>
          <w:tcPr>
            <w:tcW w:w="30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79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Kiadás*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7 504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2 508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ebből: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eszközbeszerzés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49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aktívan elhatárolt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előző évek passzív elhatárolásának megszüntetése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43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Passzívan elhatárolt ráfordítás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Aktív időbeli elhatárolásból feloldott ráfordítás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78</w:t>
            </w:r>
          </w:p>
        </w:tc>
      </w:tr>
      <w:tr w:rsidR="004F3708" w:rsidRPr="00E92C80" w:rsidTr="00701005">
        <w:trPr>
          <w:trHeight w:val="255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Kötelezettségek (szállítók)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1 176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1 341</w:t>
            </w:r>
          </w:p>
        </w:tc>
      </w:tr>
      <w:tr w:rsidR="004F3708" w:rsidRPr="00E92C80" w:rsidTr="00701005">
        <w:trPr>
          <w:trHeight w:val="25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Terv szerinti értékcsökkenés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1 065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380</w:t>
            </w:r>
          </w:p>
        </w:tc>
      </w:tr>
      <w:tr w:rsidR="004F3708" w:rsidRPr="00E92C80" w:rsidTr="00701005">
        <w:trPr>
          <w:trHeight w:val="25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3708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* </w:t>
            </w: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nem </w:t>
            </w:r>
            <w:r w:rsidRPr="008C3255">
              <w:rPr>
                <w:rFonts w:ascii="Times New Roman" w:hAnsi="Times New Roman"/>
                <w:sz w:val="20"/>
                <w:szCs w:val="20"/>
                <w:lang w:eastAsia="hu-HU"/>
              </w:rPr>
              <w:t>pénzforgalmi szemléletben</w:t>
            </w:r>
          </w:p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** A rendszerünk nem alkalmas hóközi adatok szolgáltatására, ezért 2010. április 30-i adatok, kivéve az értékcsökkenési leírással kapcsolatos tételek, amelyek a május 14-i állapotot tükrözik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F3708" w:rsidRPr="008C3255" w:rsidRDefault="004F3708" w:rsidP="008C3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4F3708" w:rsidRDefault="004F3708" w:rsidP="00522AEC">
      <w:pPr>
        <w:spacing w:after="0"/>
        <w:jc w:val="center"/>
        <w:rPr>
          <w:b/>
        </w:rPr>
      </w:pPr>
    </w:p>
    <w:p w:rsidR="004F3708" w:rsidRDefault="004F3708" w:rsidP="008C3255">
      <w:pPr>
        <w:spacing w:after="0"/>
        <w:jc w:val="both"/>
        <w:rPr>
          <w:b/>
        </w:rPr>
      </w:pPr>
    </w:p>
    <w:p w:rsidR="004F3708" w:rsidRDefault="004F3708" w:rsidP="00522AEC">
      <w:pPr>
        <w:spacing w:after="0"/>
        <w:jc w:val="center"/>
        <w:rPr>
          <w:b/>
        </w:rPr>
      </w:pPr>
    </w:p>
    <w:p w:rsidR="004F3708" w:rsidRDefault="004F3708" w:rsidP="00240E02">
      <w:pPr>
        <w:pStyle w:val="ListParagraph"/>
        <w:spacing w:after="0"/>
        <w:rPr>
          <w:b/>
        </w:rPr>
      </w:pPr>
      <w:r w:rsidRPr="00522AEC">
        <w:rPr>
          <w:b/>
        </w:rPr>
        <w:t>A szervezet pénzeszköz állománya 2010. május 14-ei állapot szerint (Ft-ban)</w:t>
      </w:r>
    </w:p>
    <w:p w:rsidR="004F3708" w:rsidRDefault="004F3708" w:rsidP="00240E02">
      <w:pPr>
        <w:pStyle w:val="ListParagraph"/>
        <w:spacing w:after="0"/>
        <w:rPr>
          <w:b/>
        </w:rPr>
      </w:pP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2920"/>
        <w:gridCol w:w="3840"/>
        <w:gridCol w:w="3040"/>
      </w:tblGrid>
      <w:tr w:rsidR="004F3708" w:rsidRPr="00E92C80" w:rsidTr="00AE1363">
        <w:trPr>
          <w:trHeight w:val="300"/>
        </w:trPr>
        <w:tc>
          <w:tcPr>
            <w:tcW w:w="29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Bankszámlaszám</w:t>
            </w:r>
          </w:p>
        </w:tc>
        <w:tc>
          <w:tcPr>
            <w:tcW w:w="38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Név</w:t>
            </w:r>
          </w:p>
        </w:tc>
        <w:tc>
          <w:tcPr>
            <w:tcW w:w="30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b/>
                <w:bCs/>
                <w:color w:val="000000"/>
                <w:lang w:eastAsia="hu-HU"/>
              </w:rPr>
            </w:pPr>
            <w:r w:rsidRPr="00AE1363">
              <w:rPr>
                <w:b/>
                <w:bCs/>
                <w:color w:val="000000"/>
                <w:lang w:eastAsia="hu-HU"/>
              </w:rPr>
              <w:t>2010. május 14. egyenleg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 xml:space="preserve">10032000-00285977-00000017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OFI kiadványok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515 323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10032000-00285977-00000024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OFI Tételár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3 259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10032000-00285977-00000031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TÁMOP 3.3.1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684 155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10032000-00285977-00000048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TÁMOP 4.1.3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54 771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 xml:space="preserve">10032000-00285977-00000055 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Diákigazolvány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21 370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 xml:space="preserve">10032000-00285977-00000062  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TIOP 1.1.2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45 100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 xml:space="preserve">10032000-00285977-00000079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Sulinet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856 376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10032000-00285977-00000086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EDU főszámla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177 845 041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10032000-00285977-00000093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TÁMOP 4.2.5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2 000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10032000-00285977-00000103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N.F.T 3.1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2 000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EUROPASS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6 887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10032000-00285977-00000127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R.O.P 3.3 (HIK)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951 687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10032000-00285977-00000134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Hitelesítés szolgáltatás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1 006 813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10032000-00285977-00000141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 xml:space="preserve">Diákbónusz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7 252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10032000-00285977-00000158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Diákbónusz - Klíring elszámolás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5 134 011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10032000-00285977-00000165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suliNova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9 591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10032000-00285977-00000172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HEFOP 3.1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4 391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10032000-00285977-00000189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HEFOP 2.1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73 709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10032000-00285977-00000196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AE1363">
              <w:rPr>
                <w:color w:val="000000"/>
                <w:lang w:eastAsia="hu-HU"/>
              </w:rPr>
              <w:t>TÁMOP 3.1.1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sz w:val="20"/>
                <w:szCs w:val="20"/>
                <w:lang w:eastAsia="hu-HU"/>
              </w:rPr>
              <w:t>1 083 669 516 Ft</w:t>
            </w:r>
          </w:p>
        </w:tc>
      </w:tr>
      <w:tr w:rsidR="004F3708" w:rsidRPr="00E92C80" w:rsidTr="00AE1363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4F3708" w:rsidRPr="00AE1363" w:rsidRDefault="004F3708" w:rsidP="00AE136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hu-HU"/>
              </w:rPr>
            </w:pPr>
            <w:r w:rsidRPr="00AE1363">
              <w:rPr>
                <w:rFonts w:ascii="Arial" w:hAnsi="Arial" w:cs="Arial"/>
                <w:b/>
                <w:bCs/>
                <w:color w:val="0000FF"/>
                <w:sz w:val="20"/>
                <w:szCs w:val="20"/>
                <w:lang w:eastAsia="hu-HU"/>
              </w:rPr>
              <w:t>1 270 893 252 Ft</w:t>
            </w:r>
          </w:p>
        </w:tc>
      </w:tr>
    </w:tbl>
    <w:p w:rsidR="004F3708" w:rsidRDefault="004F3708" w:rsidP="00947520">
      <w:pPr>
        <w:spacing w:after="0"/>
        <w:jc w:val="center"/>
        <w:rPr>
          <w:b/>
        </w:rPr>
      </w:pPr>
    </w:p>
    <w:p w:rsidR="004F3708" w:rsidRDefault="004F3708" w:rsidP="00947520">
      <w:pPr>
        <w:spacing w:after="0"/>
        <w:jc w:val="center"/>
        <w:rPr>
          <w:b/>
        </w:rPr>
      </w:pPr>
    </w:p>
    <w:p w:rsidR="004F3708" w:rsidRDefault="004F3708" w:rsidP="00AE1363">
      <w:r>
        <w:t>Főpénztár: 970 010 Ft</w:t>
      </w:r>
    </w:p>
    <w:p w:rsidR="004F3708" w:rsidRDefault="004F3708" w:rsidP="00AE1363">
      <w:r>
        <w:t>Valutapénztár Euro: 460 Euro (129 328 Ft)(281,1488 Ft árf.)</w:t>
      </w:r>
    </w:p>
    <w:p w:rsidR="004F3708" w:rsidRDefault="004F3708" w:rsidP="00947520">
      <w:pPr>
        <w:spacing w:after="0"/>
        <w:jc w:val="center"/>
        <w:rPr>
          <w:b/>
        </w:rPr>
      </w:pPr>
    </w:p>
    <w:p w:rsidR="004F3708" w:rsidRPr="00947520" w:rsidRDefault="004F3708" w:rsidP="00947520">
      <w:pPr>
        <w:spacing w:after="0"/>
        <w:jc w:val="center"/>
        <w:rPr>
          <w:b/>
        </w:rPr>
      </w:pPr>
    </w:p>
    <w:p w:rsidR="004F3708" w:rsidRPr="00947520" w:rsidRDefault="004F3708" w:rsidP="00947520">
      <w:pPr>
        <w:spacing w:after="0"/>
        <w:rPr>
          <w:b/>
        </w:rPr>
      </w:pPr>
    </w:p>
    <w:p w:rsidR="004F3708" w:rsidRDefault="004F3708" w:rsidP="00947520">
      <w:pPr>
        <w:pStyle w:val="ListParagraph"/>
        <w:numPr>
          <w:ilvl w:val="0"/>
          <w:numId w:val="5"/>
        </w:numPr>
        <w:spacing w:after="0"/>
        <w:jc w:val="center"/>
        <w:rPr>
          <w:b/>
        </w:rPr>
      </w:pPr>
      <w:r w:rsidRPr="00947520">
        <w:rPr>
          <w:b/>
        </w:rPr>
        <w:t>A szervezet vagyoni helyzete (millió forint)</w:t>
      </w:r>
    </w:p>
    <w:p w:rsidR="004F3708" w:rsidRDefault="004F3708" w:rsidP="00947520">
      <w:pPr>
        <w:spacing w:after="0"/>
        <w:jc w:val="center"/>
        <w:rPr>
          <w:b/>
        </w:rPr>
      </w:pPr>
    </w:p>
    <w:p w:rsidR="004F3708" w:rsidRDefault="004F3708" w:rsidP="00947520">
      <w:pPr>
        <w:spacing w:after="0"/>
        <w:jc w:val="center"/>
        <w:rPr>
          <w:b/>
        </w:rPr>
      </w:pPr>
    </w:p>
    <w:tbl>
      <w:tblPr>
        <w:tblW w:w="10180" w:type="dxa"/>
        <w:tblCellMar>
          <w:left w:w="70" w:type="dxa"/>
          <w:right w:w="70" w:type="dxa"/>
        </w:tblCellMar>
        <w:tblLook w:val="00A0"/>
      </w:tblPr>
      <w:tblGrid>
        <w:gridCol w:w="4060"/>
        <w:gridCol w:w="2880"/>
        <w:gridCol w:w="1720"/>
        <w:gridCol w:w="1520"/>
      </w:tblGrid>
      <w:tr w:rsidR="004F3708" w:rsidRPr="00E92C80" w:rsidTr="00162E65">
        <w:trPr>
          <w:trHeight w:val="51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Bruttó </w:t>
            </w: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érték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Nettó </w:t>
            </w: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br/>
              <w:t>érték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Immateriális javak 2009.12.31-ei állapot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5 816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3 126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Tárgyieszköz állomány 2009. 12. 31-ei állapot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1 675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380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ebből: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vagyonkezelt ingatlan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147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115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saját tulajdonú ingatlan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Immateriális javak 2010.május 14-ei állapot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5 852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2 841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Tárgyi eszköz állomány 2010. május 14-ei állapot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1 662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334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ebből: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vagyonkezelt ingatlan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147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111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saját tulajdonú ingatlan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4F3708" w:rsidRPr="00E92C80" w:rsidTr="00162E65">
        <w:trPr>
          <w:trHeight w:val="255"/>
        </w:trPr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Bérelt, használatba vett  ingatlan állomány 2010. május 14-ei állapot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-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PPP ingatlan beruházás értéke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-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2010. évi PPP fizetési kötelezettség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-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ebből: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szervezetet terhelő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-</w:t>
            </w:r>
          </w:p>
        </w:tc>
      </w:tr>
      <w:tr w:rsidR="004F3708" w:rsidRPr="00E92C80" w:rsidTr="00162E65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OKM-et terhelő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708" w:rsidRPr="00A734EF" w:rsidRDefault="004F3708" w:rsidP="00A734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734EF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-</w:t>
            </w:r>
          </w:p>
        </w:tc>
      </w:tr>
    </w:tbl>
    <w:p w:rsidR="004F3708" w:rsidRDefault="004F3708" w:rsidP="00A734EF">
      <w:pPr>
        <w:spacing w:after="0"/>
        <w:jc w:val="both"/>
        <w:rPr>
          <w:b/>
        </w:rPr>
      </w:pPr>
    </w:p>
    <w:p w:rsidR="004F3708" w:rsidRDefault="004F3708" w:rsidP="00947520">
      <w:pPr>
        <w:spacing w:after="0"/>
        <w:jc w:val="center"/>
        <w:rPr>
          <w:b/>
        </w:rPr>
      </w:pPr>
    </w:p>
    <w:p w:rsidR="004F3708" w:rsidRDefault="004F3708" w:rsidP="00947520">
      <w:pPr>
        <w:spacing w:after="0"/>
        <w:jc w:val="center"/>
        <w:rPr>
          <w:b/>
        </w:rPr>
      </w:pPr>
    </w:p>
    <w:p w:rsidR="004F3708" w:rsidRDefault="004F3708" w:rsidP="00406954">
      <w:pPr>
        <w:pStyle w:val="ListParagraph"/>
        <w:numPr>
          <w:ilvl w:val="0"/>
          <w:numId w:val="5"/>
        </w:numPr>
        <w:spacing w:after="0"/>
        <w:jc w:val="center"/>
        <w:rPr>
          <w:b/>
        </w:rPr>
      </w:pPr>
      <w:r w:rsidRPr="00947520">
        <w:rPr>
          <w:b/>
        </w:rPr>
        <w:t>Személyi állomány (f</w:t>
      </w:r>
      <w:r>
        <w:rPr>
          <w:b/>
        </w:rPr>
        <w:t>ő)</w:t>
      </w:r>
    </w:p>
    <w:tbl>
      <w:tblPr>
        <w:tblpPr w:leftFromText="141" w:rightFromText="141" w:vertAnchor="text" w:horzAnchor="margin" w:tblpY="353"/>
        <w:tblW w:w="8948" w:type="dxa"/>
        <w:tblCellMar>
          <w:left w:w="0" w:type="dxa"/>
          <w:right w:w="0" w:type="dxa"/>
        </w:tblCellMar>
        <w:tblLook w:val="00A0"/>
      </w:tblPr>
      <w:tblGrid>
        <w:gridCol w:w="695"/>
        <w:gridCol w:w="3660"/>
        <w:gridCol w:w="400"/>
        <w:gridCol w:w="755"/>
        <w:gridCol w:w="1322"/>
        <w:gridCol w:w="1176"/>
        <w:gridCol w:w="940"/>
      </w:tblGrid>
      <w:tr w:rsidR="004F3708" w:rsidRPr="00E92C80" w:rsidTr="00406954">
        <w:trPr>
          <w:trHeight w:val="255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2010. május 14-ei átlagos statisztikai állományi létszám</w:t>
            </w:r>
          </w:p>
        </w:tc>
      </w:tr>
      <w:tr w:rsidR="004F3708" w:rsidRPr="00E92C80" w:rsidTr="00406954">
        <w:trPr>
          <w:trHeight w:val="510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Teljes</w:t>
            </w:r>
            <w:r w:rsidRPr="00E92C80">
              <w:rPr>
                <w:rFonts w:ascii="Times New Roman" w:hAnsi="Times New Roman"/>
                <w:sz w:val="20"/>
                <w:szCs w:val="20"/>
              </w:rPr>
              <w:br/>
              <w:t>munkaidős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Rész</w:t>
            </w:r>
            <w:r w:rsidRPr="00E92C80">
              <w:rPr>
                <w:rFonts w:ascii="Times New Roman" w:hAnsi="Times New Roman"/>
                <w:sz w:val="20"/>
                <w:szCs w:val="20"/>
              </w:rPr>
              <w:br/>
              <w:t>munkaidős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Összesen</w:t>
            </w:r>
          </w:p>
        </w:tc>
      </w:tr>
      <w:tr w:rsidR="004F3708" w:rsidRPr="00E92C80" w:rsidTr="00406954">
        <w:trPr>
          <w:trHeight w:val="255"/>
        </w:trPr>
        <w:tc>
          <w:tcPr>
            <w:tcW w:w="43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vezető tisztségviselő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F3708" w:rsidRPr="00E92C80" w:rsidTr="00406954">
        <w:trPr>
          <w:trHeight w:val="25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ebből:</w:t>
            </w:r>
          </w:p>
        </w:tc>
        <w:tc>
          <w:tcPr>
            <w:tcW w:w="4060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kuratórium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4F3708" w:rsidRPr="00E92C80" w:rsidTr="00406954">
        <w:trPr>
          <w:trHeight w:val="255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felügyelő bizottság, ellenőrző bizottság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F3708" w:rsidRPr="00E92C80" w:rsidTr="00406954">
        <w:trPr>
          <w:trHeight w:val="255"/>
        </w:trPr>
        <w:tc>
          <w:tcPr>
            <w:tcW w:w="43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szakmai munkakörben alkalmazottak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</w:tr>
      <w:tr w:rsidR="004F3708" w:rsidRPr="00E92C80" w:rsidTr="00406954">
        <w:trPr>
          <w:trHeight w:val="255"/>
        </w:trPr>
        <w:tc>
          <w:tcPr>
            <w:tcW w:w="43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műszaki, egyéb kisegítő munkakörben alkalmazottak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</w:tr>
      <w:tr w:rsidR="004F3708" w:rsidRPr="00E92C80" w:rsidTr="00406954">
        <w:trPr>
          <w:trHeight w:val="255"/>
        </w:trPr>
        <w:tc>
          <w:tcPr>
            <w:tcW w:w="5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Megbízási szerződéssel foglalkoztatottak száma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F3708" w:rsidRPr="00E92C80" w:rsidRDefault="004F3708" w:rsidP="0040695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92C8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4F3708" w:rsidRDefault="004F3708" w:rsidP="00406954"/>
    <w:p w:rsidR="004F3708" w:rsidRDefault="004F3708" w:rsidP="00406954"/>
    <w:p w:rsidR="004F3708" w:rsidRDefault="004F3708" w:rsidP="00406954"/>
    <w:p w:rsidR="004F3708" w:rsidRPr="00406954" w:rsidRDefault="004F3708" w:rsidP="00406954">
      <w:pPr>
        <w:spacing w:after="0"/>
        <w:ind w:left="360"/>
        <w:rPr>
          <w:b/>
        </w:rPr>
      </w:pPr>
    </w:p>
    <w:sectPr w:rsidR="004F3708" w:rsidRPr="00406954" w:rsidSect="009701C3">
      <w:footerReference w:type="default" r:id="rId9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708" w:rsidRDefault="004F3708" w:rsidP="00C0044A">
      <w:pPr>
        <w:spacing w:after="0" w:line="240" w:lineRule="auto"/>
      </w:pPr>
      <w:r>
        <w:separator/>
      </w:r>
    </w:p>
  </w:endnote>
  <w:endnote w:type="continuationSeparator" w:id="1">
    <w:p w:rsidR="004F3708" w:rsidRDefault="004F3708" w:rsidP="00C0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708" w:rsidRDefault="004F3708">
    <w:pPr>
      <w:pStyle w:val="Footer"/>
      <w:jc w:val="center"/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9</w:t>
    </w:r>
    <w:r>
      <w:rPr>
        <w:b/>
      </w:rPr>
      <w:fldChar w:fldCharType="end"/>
    </w:r>
    <w: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9</w:t>
    </w:r>
    <w:r>
      <w:rPr>
        <w:b/>
      </w:rPr>
      <w:fldChar w:fldCharType="end"/>
    </w:r>
  </w:p>
  <w:p w:rsidR="004F3708" w:rsidRDefault="004F3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708" w:rsidRDefault="004F3708" w:rsidP="00C0044A">
      <w:pPr>
        <w:spacing w:after="0" w:line="240" w:lineRule="auto"/>
      </w:pPr>
      <w:r>
        <w:separator/>
      </w:r>
    </w:p>
  </w:footnote>
  <w:footnote w:type="continuationSeparator" w:id="1">
    <w:p w:rsidR="004F3708" w:rsidRDefault="004F3708" w:rsidP="00C00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F57C2"/>
    <w:multiLevelType w:val="hybridMultilevel"/>
    <w:tmpl w:val="62FE1FA6"/>
    <w:lvl w:ilvl="0" w:tplc="1018E15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1A15AC"/>
    <w:multiLevelType w:val="hybridMultilevel"/>
    <w:tmpl w:val="33DE2C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970FB"/>
    <w:multiLevelType w:val="hybridMultilevel"/>
    <w:tmpl w:val="543C0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27B0E"/>
    <w:multiLevelType w:val="hybridMultilevel"/>
    <w:tmpl w:val="12EA1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93880"/>
    <w:multiLevelType w:val="hybridMultilevel"/>
    <w:tmpl w:val="981CE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CB7"/>
    <w:rsid w:val="00007AE8"/>
    <w:rsid w:val="00162E65"/>
    <w:rsid w:val="00195021"/>
    <w:rsid w:val="001C1118"/>
    <w:rsid w:val="001C2A2B"/>
    <w:rsid w:val="001C7134"/>
    <w:rsid w:val="00227236"/>
    <w:rsid w:val="00240E02"/>
    <w:rsid w:val="0027650C"/>
    <w:rsid w:val="00302828"/>
    <w:rsid w:val="00324679"/>
    <w:rsid w:val="00343847"/>
    <w:rsid w:val="003D67D0"/>
    <w:rsid w:val="003F2838"/>
    <w:rsid w:val="00402949"/>
    <w:rsid w:val="00406954"/>
    <w:rsid w:val="0042612A"/>
    <w:rsid w:val="004F3708"/>
    <w:rsid w:val="00522AEC"/>
    <w:rsid w:val="005A41D2"/>
    <w:rsid w:val="005A756A"/>
    <w:rsid w:val="006918CA"/>
    <w:rsid w:val="00701005"/>
    <w:rsid w:val="00706F2D"/>
    <w:rsid w:val="0071000A"/>
    <w:rsid w:val="007159BB"/>
    <w:rsid w:val="007356BC"/>
    <w:rsid w:val="00746962"/>
    <w:rsid w:val="00753AB4"/>
    <w:rsid w:val="00790C50"/>
    <w:rsid w:val="00790DFE"/>
    <w:rsid w:val="007B268C"/>
    <w:rsid w:val="007E4F5F"/>
    <w:rsid w:val="007F44C2"/>
    <w:rsid w:val="007F6C88"/>
    <w:rsid w:val="008448EC"/>
    <w:rsid w:val="00866165"/>
    <w:rsid w:val="008978EB"/>
    <w:rsid w:val="008A4523"/>
    <w:rsid w:val="008B00F4"/>
    <w:rsid w:val="008C10BE"/>
    <w:rsid w:val="008C3255"/>
    <w:rsid w:val="008C392C"/>
    <w:rsid w:val="008D0605"/>
    <w:rsid w:val="009062BC"/>
    <w:rsid w:val="0092409F"/>
    <w:rsid w:val="00947520"/>
    <w:rsid w:val="009701C3"/>
    <w:rsid w:val="00A24B9C"/>
    <w:rsid w:val="00A4522C"/>
    <w:rsid w:val="00A46115"/>
    <w:rsid w:val="00A64348"/>
    <w:rsid w:val="00A716DF"/>
    <w:rsid w:val="00A734EF"/>
    <w:rsid w:val="00AC5A74"/>
    <w:rsid w:val="00AE1363"/>
    <w:rsid w:val="00AF39EF"/>
    <w:rsid w:val="00B02BA9"/>
    <w:rsid w:val="00B17AC6"/>
    <w:rsid w:val="00C0044A"/>
    <w:rsid w:val="00C02F2F"/>
    <w:rsid w:val="00C54CB7"/>
    <w:rsid w:val="00C57EAD"/>
    <w:rsid w:val="00CB6C9E"/>
    <w:rsid w:val="00CC62AD"/>
    <w:rsid w:val="00CE5FB5"/>
    <w:rsid w:val="00CF55DC"/>
    <w:rsid w:val="00D10556"/>
    <w:rsid w:val="00D159BF"/>
    <w:rsid w:val="00D353AC"/>
    <w:rsid w:val="00D82EE0"/>
    <w:rsid w:val="00DC19FE"/>
    <w:rsid w:val="00DE7586"/>
    <w:rsid w:val="00E865EE"/>
    <w:rsid w:val="00E87AEC"/>
    <w:rsid w:val="00E900F9"/>
    <w:rsid w:val="00E92C80"/>
    <w:rsid w:val="00E9535F"/>
    <w:rsid w:val="00EC16ED"/>
    <w:rsid w:val="00ED4D35"/>
    <w:rsid w:val="00F42304"/>
    <w:rsid w:val="00F6022D"/>
    <w:rsid w:val="00F61505"/>
    <w:rsid w:val="00F72234"/>
    <w:rsid w:val="00F822B6"/>
    <w:rsid w:val="00F94030"/>
    <w:rsid w:val="00FB5A9B"/>
    <w:rsid w:val="00FE6435"/>
    <w:rsid w:val="00FF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l2">
    <w:name w:val="Normál 2"/>
    <w:basedOn w:val="Normal"/>
    <w:uiPriority w:val="99"/>
    <w:rsid w:val="00C54CB7"/>
    <w:pPr>
      <w:spacing w:after="120" w:line="240" w:lineRule="auto"/>
      <w:jc w:val="both"/>
    </w:pPr>
    <w:rPr>
      <w:rFonts w:ascii="Arial" w:eastAsia="Times New Roman" w:hAnsi="Arial"/>
      <w:sz w:val="24"/>
      <w:szCs w:val="20"/>
    </w:rPr>
  </w:style>
  <w:style w:type="table" w:styleId="TableGrid">
    <w:name w:val="Table Grid"/>
    <w:basedOn w:val="TableNormal"/>
    <w:uiPriority w:val="99"/>
    <w:rsid w:val="00C54C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7356BC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C00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0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0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44A"/>
    <w:rPr>
      <w:rFonts w:cs="Times New Roman"/>
    </w:rPr>
  </w:style>
  <w:style w:type="paragraph" w:styleId="ListParagraph">
    <w:name w:val="List Paragraph"/>
    <w:basedOn w:val="Normal"/>
    <w:uiPriority w:val="99"/>
    <w:qFormat/>
    <w:rsid w:val="007F4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9</Pages>
  <Words>1967</Words>
  <Characters>13575</Characters>
  <Application>Microsoft Office Outlook</Application>
  <DocSecurity>0</DocSecurity>
  <Lines>0</Lines>
  <Paragraphs>0</Paragraphs>
  <ScaleCrop>false</ScaleCrop>
  <Company>Educatio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visnyeics</dc:creator>
  <cp:keywords/>
  <dc:description/>
  <cp:lastModifiedBy>tordais</cp:lastModifiedBy>
  <cp:revision>5</cp:revision>
  <dcterms:created xsi:type="dcterms:W3CDTF">2010-05-26T09:56:00Z</dcterms:created>
  <dcterms:modified xsi:type="dcterms:W3CDTF">2010-05-28T08:04:00Z</dcterms:modified>
</cp:coreProperties>
</file>