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40" w:type="dxa"/>
        <w:tblInd w:w="53" w:type="dxa"/>
        <w:tblCellMar>
          <w:left w:w="70" w:type="dxa"/>
          <w:right w:w="70" w:type="dxa"/>
        </w:tblCellMar>
        <w:tblLook w:val="00A0"/>
      </w:tblPr>
      <w:tblGrid>
        <w:gridCol w:w="5460"/>
        <w:gridCol w:w="1960"/>
        <w:gridCol w:w="1620"/>
        <w:gridCol w:w="1540"/>
        <w:gridCol w:w="1460"/>
      </w:tblGrid>
      <w:tr w:rsidR="00AC5E54" w:rsidRPr="00B43266" w:rsidTr="00D749F1">
        <w:trPr>
          <w:trHeight w:val="421"/>
        </w:trPr>
        <w:tc>
          <w:tcPr>
            <w:tcW w:w="54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b/>
                <w:bCs/>
                <w:sz w:val="20"/>
                <w:szCs w:val="20"/>
                <w:lang w:eastAsia="hu-HU"/>
              </w:rPr>
            </w:pPr>
            <w:r>
              <w:rPr>
                <w:rFonts w:ascii="Times New Roman" w:hAnsi="Times New Roman"/>
                <w:b/>
                <w:bCs/>
                <w:sz w:val="20"/>
                <w:szCs w:val="20"/>
                <w:lang w:eastAsia="hu-HU"/>
              </w:rPr>
              <w:t>Intézmény neve: Kulturális Ö</w:t>
            </w:r>
            <w:r w:rsidRPr="009E7BFF">
              <w:rPr>
                <w:rFonts w:ascii="Times New Roman" w:hAnsi="Times New Roman"/>
                <w:b/>
                <w:bCs/>
                <w:sz w:val="20"/>
                <w:szCs w:val="20"/>
                <w:lang w:eastAsia="hu-HU"/>
              </w:rPr>
              <w:t>rökségvédelmi Hivatal</w:t>
            </w:r>
          </w:p>
        </w:tc>
        <w:tc>
          <w:tcPr>
            <w:tcW w:w="19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62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5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4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r w:rsidR="00AC5E54" w:rsidRPr="00B43266" w:rsidTr="009E7BFF">
        <w:trPr>
          <w:trHeight w:val="255"/>
        </w:trPr>
        <w:tc>
          <w:tcPr>
            <w:tcW w:w="7420" w:type="dxa"/>
            <w:gridSpan w:val="2"/>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 xml:space="preserve">Jogállása: </w:t>
            </w:r>
            <w:r w:rsidRPr="009E7BFF">
              <w:rPr>
                <w:rFonts w:ascii="Times New Roman" w:hAnsi="Times New Roman"/>
                <w:sz w:val="20"/>
                <w:szCs w:val="20"/>
                <w:u w:val="single"/>
                <w:lang w:eastAsia="hu-HU"/>
              </w:rPr>
              <w:t>közhatalmi szerv</w:t>
            </w:r>
            <w:r w:rsidRPr="009E7BFF">
              <w:rPr>
                <w:rFonts w:ascii="Times New Roman" w:hAnsi="Times New Roman"/>
                <w:sz w:val="20"/>
                <w:szCs w:val="20"/>
                <w:lang w:eastAsia="hu-HU"/>
              </w:rPr>
              <w:t>, közintézmény, közintézet (a megfelelő aláhúzandó)</w:t>
            </w:r>
          </w:p>
        </w:tc>
        <w:tc>
          <w:tcPr>
            <w:tcW w:w="162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5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4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r w:rsidR="00AC5E54" w:rsidRPr="00B43266" w:rsidTr="009E7BFF">
        <w:trPr>
          <w:trHeight w:val="255"/>
        </w:trPr>
        <w:tc>
          <w:tcPr>
            <w:tcW w:w="10580" w:type="dxa"/>
            <w:gridSpan w:val="4"/>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Irányító szervi jogosítványok gyakorlásának formája: fenntartói irányítás</w:t>
            </w:r>
            <w:r w:rsidRPr="00BD599B">
              <w:rPr>
                <w:rFonts w:ascii="Times New Roman" w:hAnsi="Times New Roman"/>
                <w:sz w:val="20"/>
                <w:szCs w:val="20"/>
                <w:u w:val="single"/>
                <w:lang w:eastAsia="hu-HU"/>
              </w:rPr>
              <w:t>/</w:t>
            </w:r>
            <w:r w:rsidRPr="00BD599B">
              <w:rPr>
                <w:rFonts w:ascii="Times New Roman" w:hAnsi="Times New Roman"/>
                <w:sz w:val="20"/>
                <w:szCs w:val="20"/>
                <w:lang w:eastAsia="hu-HU"/>
              </w:rPr>
              <w:t>felügyele</w:t>
            </w:r>
            <w:r w:rsidRPr="00BD599B">
              <w:rPr>
                <w:rFonts w:ascii="Times New Roman" w:hAnsi="Times New Roman"/>
                <w:sz w:val="20"/>
                <w:szCs w:val="20"/>
                <w:u w:val="single"/>
                <w:lang w:eastAsia="hu-HU"/>
              </w:rPr>
              <w:t>t/irányítás</w:t>
            </w:r>
            <w:r w:rsidRPr="009E7BFF">
              <w:rPr>
                <w:rFonts w:ascii="Times New Roman" w:hAnsi="Times New Roman"/>
                <w:sz w:val="20"/>
                <w:szCs w:val="20"/>
                <w:lang w:eastAsia="hu-HU"/>
              </w:rPr>
              <w:t xml:space="preserve"> (a megfelelő aláhúzandó)</w:t>
            </w:r>
          </w:p>
        </w:tc>
        <w:tc>
          <w:tcPr>
            <w:tcW w:w="14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bl>
    <w:p w:rsidR="00AC5E54" w:rsidRPr="00B57F35" w:rsidRDefault="00AC5E54">
      <w:pPr>
        <w:rPr>
          <w:sz w:val="20"/>
          <w:szCs w:val="20"/>
        </w:rPr>
      </w:pPr>
    </w:p>
    <w:tbl>
      <w:tblPr>
        <w:tblW w:w="12040" w:type="dxa"/>
        <w:tblInd w:w="53" w:type="dxa"/>
        <w:tblCellMar>
          <w:left w:w="70" w:type="dxa"/>
          <w:right w:w="70" w:type="dxa"/>
        </w:tblCellMar>
        <w:tblLook w:val="00A0"/>
      </w:tblPr>
      <w:tblGrid>
        <w:gridCol w:w="620"/>
        <w:gridCol w:w="8420"/>
        <w:gridCol w:w="1540"/>
        <w:gridCol w:w="1460"/>
      </w:tblGrid>
      <w:tr w:rsidR="00AC5E54" w:rsidRPr="00B43266" w:rsidTr="009E7BFF">
        <w:trPr>
          <w:trHeight w:val="255"/>
        </w:trPr>
        <w:tc>
          <w:tcPr>
            <w:tcW w:w="620" w:type="dxa"/>
            <w:tcBorders>
              <w:top w:val="nil"/>
              <w:left w:val="nil"/>
              <w:bottom w:val="nil"/>
              <w:right w:val="nil"/>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1.</w:t>
            </w:r>
          </w:p>
        </w:tc>
        <w:tc>
          <w:tcPr>
            <w:tcW w:w="842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Szakmai-igazgatási működés feladat szerinti, tételes bemutatása maximum 2-3 oldal terjedelemben</w:t>
            </w:r>
          </w:p>
        </w:tc>
        <w:tc>
          <w:tcPr>
            <w:tcW w:w="15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4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bl>
    <w:p w:rsidR="00AC5E54" w:rsidRPr="00B57F35" w:rsidRDefault="00AC5E54" w:rsidP="00B57F35">
      <w:pPr>
        <w:spacing w:after="0"/>
        <w:jc w:val="both"/>
        <w:rPr>
          <w:rFonts w:ascii="Times New Roman" w:hAnsi="Times New Roman"/>
          <w:sz w:val="20"/>
          <w:szCs w:val="20"/>
        </w:rPr>
      </w:pPr>
    </w:p>
    <w:p w:rsidR="00AC5E54" w:rsidRPr="00B57F35" w:rsidRDefault="00AC5E54" w:rsidP="00B57F35">
      <w:pPr>
        <w:spacing w:after="0"/>
        <w:jc w:val="both"/>
        <w:rPr>
          <w:rFonts w:ascii="Times New Roman" w:hAnsi="Times New Roman"/>
          <w:b/>
          <w:sz w:val="20"/>
          <w:szCs w:val="20"/>
          <w:u w:val="single"/>
        </w:rPr>
      </w:pPr>
      <w:r w:rsidRPr="00B57F35">
        <w:rPr>
          <w:rFonts w:ascii="Times New Roman" w:hAnsi="Times New Roman"/>
          <w:sz w:val="20"/>
          <w:szCs w:val="20"/>
        </w:rPr>
        <w:t xml:space="preserve">A Kulturális Örökségvédelmi Hivatal </w:t>
      </w:r>
      <w:r w:rsidRPr="00B57F35">
        <w:rPr>
          <w:rFonts w:ascii="Times New Roman" w:hAnsi="Times New Roman"/>
          <w:b/>
          <w:sz w:val="20"/>
          <w:szCs w:val="20"/>
          <w:u w:val="single"/>
        </w:rPr>
        <w:t>Szakmai-igazgatási működése és szervezeti felépítése</w:t>
      </w:r>
    </w:p>
    <w:p w:rsidR="00AC5E54" w:rsidRPr="00B57F35" w:rsidRDefault="00AC5E54" w:rsidP="00B57F35">
      <w:pPr>
        <w:spacing w:after="0"/>
        <w:jc w:val="both"/>
        <w:rPr>
          <w:rFonts w:ascii="Times New Roman" w:hAnsi="Times New Roman"/>
          <w:sz w:val="20"/>
          <w:szCs w:val="20"/>
        </w:rPr>
      </w:pPr>
      <w:r w:rsidRPr="00B57F35">
        <w:rPr>
          <w:rFonts w:ascii="Times New Roman" w:hAnsi="Times New Roman"/>
          <w:sz w:val="20"/>
          <w:szCs w:val="20"/>
        </w:rPr>
        <w:t>A Kulturális Örökségvédelmi Hivatal (a továbbiakban: Hivatal) szakmai-igazgatási működését a 308/2006. (XII. 23.) Korm. rendelet (a továbbiakban: Kr.) határozza meg. A Kr. szerint a Hivatal feladatainak legfőbb csoportjai:</w:t>
      </w:r>
    </w:p>
    <w:p w:rsidR="00AC5E54" w:rsidRPr="00B57F35" w:rsidRDefault="00AC5E54" w:rsidP="00B57F35">
      <w:pPr>
        <w:numPr>
          <w:ilvl w:val="0"/>
          <w:numId w:val="1"/>
        </w:numPr>
        <w:spacing w:after="0"/>
        <w:jc w:val="both"/>
        <w:rPr>
          <w:rFonts w:ascii="Times New Roman" w:hAnsi="Times New Roman"/>
          <w:sz w:val="20"/>
          <w:szCs w:val="20"/>
        </w:rPr>
      </w:pPr>
      <w:r w:rsidRPr="00B57F35">
        <w:rPr>
          <w:rFonts w:ascii="Times New Roman" w:hAnsi="Times New Roman"/>
          <w:sz w:val="20"/>
          <w:szCs w:val="20"/>
        </w:rPr>
        <w:t xml:space="preserve">kulturális </w:t>
      </w:r>
      <w:r w:rsidRPr="00B57F35">
        <w:rPr>
          <w:rFonts w:ascii="Times New Roman" w:hAnsi="Times New Roman"/>
          <w:b/>
          <w:sz w:val="20"/>
          <w:szCs w:val="20"/>
        </w:rPr>
        <w:t>örökségvédelmi hatóság</w:t>
      </w:r>
      <w:r w:rsidRPr="00B57F35">
        <w:rPr>
          <w:rFonts w:ascii="Times New Roman" w:hAnsi="Times New Roman"/>
          <w:sz w:val="20"/>
          <w:szCs w:val="20"/>
        </w:rPr>
        <w:t>i feladatok a kulturális örökség védelméről szóló 2001. évi LXIV. törvény szerint,</w:t>
      </w:r>
    </w:p>
    <w:p w:rsidR="00AC5E54" w:rsidRPr="00B57F35" w:rsidRDefault="00AC5E54" w:rsidP="00B57F35">
      <w:pPr>
        <w:numPr>
          <w:ilvl w:val="0"/>
          <w:numId w:val="1"/>
        </w:numPr>
        <w:spacing w:after="0"/>
        <w:jc w:val="both"/>
        <w:rPr>
          <w:rFonts w:ascii="Times New Roman" w:hAnsi="Times New Roman"/>
          <w:sz w:val="20"/>
          <w:szCs w:val="20"/>
        </w:rPr>
      </w:pPr>
      <w:r w:rsidRPr="00B57F35">
        <w:rPr>
          <w:rFonts w:ascii="Times New Roman" w:hAnsi="Times New Roman"/>
          <w:b/>
          <w:sz w:val="20"/>
          <w:szCs w:val="20"/>
        </w:rPr>
        <w:t>építésügyi hatóság</w:t>
      </w:r>
      <w:r w:rsidRPr="00B57F35">
        <w:rPr>
          <w:rFonts w:ascii="Times New Roman" w:hAnsi="Times New Roman"/>
          <w:sz w:val="20"/>
          <w:szCs w:val="20"/>
        </w:rPr>
        <w:t>i feladatok a műemléken végzett építési munka és telekalakítás esetén az épített környezet alakításáról és védelméről szóló 1997. évi LXXVIII. törvény szerint,</w:t>
      </w:r>
    </w:p>
    <w:p w:rsidR="00AC5E54" w:rsidRPr="00B57F35" w:rsidRDefault="00AC5E54" w:rsidP="00B57F35">
      <w:pPr>
        <w:numPr>
          <w:ilvl w:val="0"/>
          <w:numId w:val="1"/>
        </w:numPr>
        <w:spacing w:after="0"/>
        <w:jc w:val="both"/>
        <w:rPr>
          <w:rFonts w:ascii="Times New Roman" w:hAnsi="Times New Roman"/>
          <w:sz w:val="20"/>
          <w:szCs w:val="20"/>
        </w:rPr>
      </w:pPr>
      <w:r w:rsidRPr="00B57F35">
        <w:rPr>
          <w:rFonts w:ascii="Times New Roman" w:hAnsi="Times New Roman"/>
          <w:b/>
          <w:sz w:val="20"/>
          <w:szCs w:val="20"/>
        </w:rPr>
        <w:t>mozgóképszakmai hatóság</w:t>
      </w:r>
      <w:r w:rsidRPr="00B57F35">
        <w:rPr>
          <w:rFonts w:ascii="Times New Roman" w:hAnsi="Times New Roman"/>
          <w:sz w:val="20"/>
          <w:szCs w:val="20"/>
        </w:rPr>
        <w:t>i feladatok,</w:t>
      </w:r>
    </w:p>
    <w:p w:rsidR="00AC5E54" w:rsidRPr="00B57F35" w:rsidRDefault="00AC5E54" w:rsidP="00B57F35">
      <w:pPr>
        <w:numPr>
          <w:ilvl w:val="0"/>
          <w:numId w:val="1"/>
        </w:numPr>
        <w:spacing w:after="0"/>
        <w:jc w:val="both"/>
        <w:rPr>
          <w:rFonts w:ascii="Times New Roman" w:hAnsi="Times New Roman"/>
          <w:sz w:val="20"/>
          <w:szCs w:val="20"/>
        </w:rPr>
      </w:pPr>
      <w:r w:rsidRPr="00B57F35">
        <w:rPr>
          <w:rFonts w:ascii="Times New Roman" w:hAnsi="Times New Roman"/>
          <w:b/>
          <w:sz w:val="20"/>
          <w:szCs w:val="20"/>
        </w:rPr>
        <w:t>lapnyilvántartás</w:t>
      </w:r>
      <w:r w:rsidRPr="00B57F35">
        <w:rPr>
          <w:rFonts w:ascii="Times New Roman" w:hAnsi="Times New Roman"/>
          <w:sz w:val="20"/>
          <w:szCs w:val="20"/>
        </w:rPr>
        <w:t>i feladatok,</w:t>
      </w:r>
    </w:p>
    <w:p w:rsidR="00AC5E54" w:rsidRPr="00B57F35" w:rsidRDefault="00AC5E54" w:rsidP="00B57F35">
      <w:pPr>
        <w:numPr>
          <w:ilvl w:val="0"/>
          <w:numId w:val="1"/>
        </w:numPr>
        <w:spacing w:after="0"/>
        <w:jc w:val="both"/>
        <w:rPr>
          <w:rFonts w:ascii="Times New Roman" w:hAnsi="Times New Roman"/>
          <w:sz w:val="20"/>
          <w:szCs w:val="20"/>
        </w:rPr>
      </w:pPr>
      <w:r w:rsidRPr="00B57F35">
        <w:rPr>
          <w:rFonts w:ascii="Times New Roman" w:hAnsi="Times New Roman"/>
          <w:b/>
          <w:sz w:val="20"/>
          <w:szCs w:val="20"/>
        </w:rPr>
        <w:t>előadó-művészeti államigazgatás</w:t>
      </w:r>
      <w:r w:rsidRPr="00B57F35">
        <w:rPr>
          <w:rFonts w:ascii="Times New Roman" w:hAnsi="Times New Roman"/>
          <w:sz w:val="20"/>
          <w:szCs w:val="20"/>
        </w:rPr>
        <w:t>i feladatok.</w:t>
      </w:r>
    </w:p>
    <w:p w:rsidR="00AC5E54" w:rsidRPr="00B57F35" w:rsidRDefault="00AC5E54" w:rsidP="00B57F35">
      <w:pPr>
        <w:spacing w:after="0"/>
        <w:jc w:val="both"/>
        <w:rPr>
          <w:rFonts w:ascii="Times New Roman" w:hAnsi="Times New Roman"/>
          <w:sz w:val="20"/>
          <w:szCs w:val="20"/>
        </w:rPr>
      </w:pPr>
    </w:p>
    <w:p w:rsidR="00AC5E54" w:rsidRPr="00B57F35" w:rsidRDefault="00AC5E54" w:rsidP="00B57F35">
      <w:pPr>
        <w:spacing w:after="0"/>
        <w:jc w:val="both"/>
        <w:rPr>
          <w:rFonts w:ascii="Times New Roman" w:hAnsi="Times New Roman"/>
          <w:sz w:val="20"/>
          <w:szCs w:val="20"/>
          <w:u w:val="single"/>
        </w:rPr>
      </w:pPr>
      <w:r w:rsidRPr="00B57F35">
        <w:rPr>
          <w:rFonts w:ascii="Times New Roman" w:hAnsi="Times New Roman"/>
          <w:sz w:val="20"/>
          <w:szCs w:val="20"/>
          <w:u w:val="single"/>
        </w:rPr>
        <w:t>a. A Hivatal mint örökségvédelmi hatóság</w:t>
      </w:r>
    </w:p>
    <w:p w:rsidR="00AC5E54" w:rsidRPr="00B57F35" w:rsidRDefault="00AC5E54" w:rsidP="00B57F35">
      <w:pPr>
        <w:spacing w:after="0"/>
        <w:jc w:val="both"/>
        <w:rPr>
          <w:rFonts w:ascii="Times New Roman" w:hAnsi="Times New Roman"/>
          <w:sz w:val="20"/>
          <w:szCs w:val="20"/>
        </w:rPr>
      </w:pPr>
      <w:r w:rsidRPr="00B57F35">
        <w:rPr>
          <w:rFonts w:ascii="Times New Roman" w:hAnsi="Times New Roman"/>
          <w:sz w:val="20"/>
          <w:szCs w:val="20"/>
        </w:rPr>
        <w:t xml:space="preserve">A Hivatal örökségvédelmi hatóságként mind az </w:t>
      </w:r>
      <w:r w:rsidRPr="00B57F35">
        <w:rPr>
          <w:rFonts w:ascii="Times New Roman" w:hAnsi="Times New Roman"/>
          <w:b/>
          <w:sz w:val="20"/>
          <w:szCs w:val="20"/>
        </w:rPr>
        <w:t>épített örökség</w:t>
      </w:r>
      <w:r w:rsidRPr="00B57F35">
        <w:rPr>
          <w:rFonts w:ascii="Times New Roman" w:hAnsi="Times New Roman"/>
          <w:sz w:val="20"/>
          <w:szCs w:val="20"/>
        </w:rPr>
        <w:t xml:space="preserve"> (műemlékek, műemléki jelentőségű területek, stb.), mind a </w:t>
      </w:r>
      <w:r w:rsidRPr="00B57F35">
        <w:rPr>
          <w:rFonts w:ascii="Times New Roman" w:hAnsi="Times New Roman"/>
          <w:b/>
          <w:sz w:val="20"/>
          <w:szCs w:val="20"/>
        </w:rPr>
        <w:t>régészeti örökség</w:t>
      </w:r>
      <w:r w:rsidRPr="00B57F35">
        <w:rPr>
          <w:rFonts w:ascii="Times New Roman" w:hAnsi="Times New Roman"/>
          <w:sz w:val="20"/>
          <w:szCs w:val="20"/>
        </w:rPr>
        <w:t xml:space="preserve"> (régészeti lelőhelyek, leletek, emlékek), mind a </w:t>
      </w:r>
      <w:r w:rsidRPr="00B57F35">
        <w:rPr>
          <w:rFonts w:ascii="Times New Roman" w:hAnsi="Times New Roman"/>
          <w:b/>
          <w:sz w:val="20"/>
          <w:szCs w:val="20"/>
        </w:rPr>
        <w:t>kulturális javak</w:t>
      </w:r>
      <w:r w:rsidRPr="00B57F35">
        <w:rPr>
          <w:rFonts w:ascii="Times New Roman" w:hAnsi="Times New Roman"/>
          <w:sz w:val="20"/>
          <w:szCs w:val="20"/>
        </w:rPr>
        <w:t xml:space="preserve"> (műtárgyak) tekintetében ellátja az alábbi feladatokat:</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tudományos értékvizsgálat alapján felkutatja és dokumentálja a kulturális örökség kiemelkedő jelentőségű elemeit;</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 xml:space="preserve">a fenntartható használat elvei alapján számba veszi a kulturális örökség kiemelkedő jelentőségű elemeit, és ellátja a védetté nyilvánításukkal, valamint védőövezetük és környezetük kijelölésével, illetve védettségük feloldásával kapcsolatos, jogszabályban meghatározott feladatokat; </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működteti szakmai adattárait és gyűjteményeit, nyilvánosan hozzáférhető kutatószolgálatot működtet;</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közhiteles hatósági nyilvántartást vezet a kulturális örökség védetté nyilvánított elemeiről, és nyilvántartásaiból adatokat szolgáltat;</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gondoskodik a kulturális örökség ingatlan elemei védettségének az ingatlan-nyilvántartásban való feltüntetéséről;</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figyelemmel kíséri a kulturális örökség védelmére vonatkozó jogszabályok érvényesülését, részt vesz a feladatait érintő jogszabályok előkészítésében;</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 xml:space="preserve">az örökségvédelmi engedélyhez kötött tevékenységek (régészeti lelőhelyet érintő földmunkák, régészeti feltárások, műemlék megjelenését érintő, más engedélyhez nem kötött munkák, kulturális javak kivitel) engedélyezése iránti ügyekben – részint az önálló jogi személyiséggel nem rendelkező területi szervei, részint a központi szerve útján – közigazgatási hatóságként eljár, döntést hoz, ellenőriz és végrehajt; </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más hatóságok előtt folyó, kormányrendeletekben meghatározott eljárásokban szakhatóságként eljárva vizsgálja a kulturális örökség védelmére vonatkozó jogszabályok megtartását, és szakhatósági állásfoglalást vagy előzetes szakhatósági hozzájárulást ad ki, továbbá más esetekben véleményezési joggal rendelkezik;</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a nemzetgazdasági szempontból kiemelt jelentőségű beruházásokat érintő közigazgatási ügyekben az azokról szóló jogszabályokban meghatározott hatáskörben eljár;</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ellátja az EU más tagállamába jogellenesen kivitt kulturális javak visszaszolgáltatására vonatkozó feladatokat;</w:t>
      </w:r>
    </w:p>
    <w:p w:rsidR="00AC5E54" w:rsidRPr="00B57F35" w:rsidRDefault="00AC5E54" w:rsidP="00B57F35">
      <w:pPr>
        <w:numPr>
          <w:ilvl w:val="0"/>
          <w:numId w:val="2"/>
        </w:numPr>
        <w:spacing w:after="0"/>
        <w:jc w:val="both"/>
        <w:rPr>
          <w:rFonts w:ascii="Times New Roman" w:hAnsi="Times New Roman"/>
          <w:sz w:val="20"/>
          <w:szCs w:val="20"/>
        </w:rPr>
      </w:pPr>
      <w:r w:rsidRPr="00B57F35">
        <w:rPr>
          <w:rFonts w:ascii="Times New Roman" w:hAnsi="Times New Roman"/>
          <w:sz w:val="20"/>
          <w:szCs w:val="20"/>
        </w:rPr>
        <w:t>a kulturális örökség védelméről szóló 2001. évi LXIV. törvény alapján elővásárlási jog és hatósági jóváhagyási jogosultság gyakorlásával segíti elő a műemlékek méltó és fenntartható hasznosítását.</w:t>
      </w:r>
    </w:p>
    <w:p w:rsidR="00AC5E54" w:rsidRPr="00B57F35" w:rsidRDefault="00AC5E54" w:rsidP="00B57F35">
      <w:pPr>
        <w:spacing w:after="0"/>
        <w:jc w:val="both"/>
        <w:rPr>
          <w:rFonts w:ascii="Times New Roman" w:hAnsi="Times New Roman"/>
          <w:sz w:val="20"/>
          <w:szCs w:val="20"/>
        </w:rPr>
      </w:pPr>
      <w:r w:rsidRPr="00B57F35">
        <w:rPr>
          <w:rFonts w:ascii="Times New Roman" w:hAnsi="Times New Roman"/>
          <w:sz w:val="20"/>
          <w:szCs w:val="20"/>
        </w:rPr>
        <w:t>A fenti tevékenységek közül kockázattal érintett a kulturális örökség védettségének az ingatlan-nyilvántartásban való feltüntetése, tekintettel arra, hogy az ingatlan-nyilvántartási eljárásban a Hivatal 2010. január 1-jétől nem rendelkezik díjmentességgel, így a fel nem jegyzett védettségű ingatlanok tízezrei vonatkozásában forráshiány miatt továbbra sem valósítható meg a feladat. A Hivatal közhiteles hatósági nyilvántartásának rendszeres aktualizálása és adatainak hatályossága attól függ, hogy a Hivatal rendelkezésére áll-e az ország digitális kataszteri alaptérképe.</w:t>
      </w:r>
    </w:p>
    <w:p w:rsidR="00AC5E54" w:rsidRPr="00B57F35" w:rsidRDefault="00AC5E54" w:rsidP="00B57F35">
      <w:pPr>
        <w:spacing w:after="0"/>
        <w:jc w:val="both"/>
        <w:rPr>
          <w:rFonts w:ascii="Times New Roman" w:hAnsi="Times New Roman"/>
          <w:sz w:val="20"/>
          <w:szCs w:val="20"/>
        </w:rPr>
      </w:pPr>
    </w:p>
    <w:p w:rsidR="00AC5E54" w:rsidRPr="00B57F35" w:rsidRDefault="00AC5E54" w:rsidP="00B57F35">
      <w:pPr>
        <w:spacing w:after="0"/>
        <w:jc w:val="both"/>
        <w:rPr>
          <w:rFonts w:ascii="Times New Roman" w:hAnsi="Times New Roman"/>
          <w:sz w:val="20"/>
          <w:szCs w:val="20"/>
          <w:u w:val="single"/>
        </w:rPr>
      </w:pPr>
      <w:r w:rsidRPr="00B57F35">
        <w:rPr>
          <w:rFonts w:ascii="Times New Roman" w:hAnsi="Times New Roman"/>
          <w:sz w:val="20"/>
          <w:szCs w:val="20"/>
          <w:u w:val="single"/>
        </w:rPr>
        <w:t>b. A Hivatal mint építésügyi hatóság</w:t>
      </w:r>
    </w:p>
    <w:p w:rsidR="00AC5E54" w:rsidRPr="00B57F35" w:rsidRDefault="00AC5E54" w:rsidP="00B57F35">
      <w:pPr>
        <w:spacing w:after="0"/>
        <w:jc w:val="both"/>
        <w:rPr>
          <w:rFonts w:ascii="Times New Roman" w:hAnsi="Times New Roman"/>
          <w:sz w:val="20"/>
          <w:szCs w:val="20"/>
        </w:rPr>
      </w:pPr>
      <w:r w:rsidRPr="00B57F35">
        <w:rPr>
          <w:rFonts w:ascii="Times New Roman" w:hAnsi="Times New Roman"/>
          <w:sz w:val="20"/>
          <w:szCs w:val="20"/>
        </w:rPr>
        <w:t>A Hivatal építésügyi hatóságként a műemlékeket érintő építési munka és telekalakítás vonatkozásában ellátja – az építésfelügyeleti hatósági feladatok kivételével – az épített környezet alakításáról és védelméről szóló 1997. évi LXXVIII. törvényben meghatározott hatósági feladatokat, így különösen</w:t>
      </w:r>
    </w:p>
    <w:p w:rsidR="00AC5E54" w:rsidRPr="00B57F35" w:rsidRDefault="00AC5E54" w:rsidP="00B57F35">
      <w:pPr>
        <w:numPr>
          <w:ilvl w:val="0"/>
          <w:numId w:val="3"/>
        </w:numPr>
        <w:spacing w:after="0"/>
        <w:jc w:val="both"/>
        <w:rPr>
          <w:rFonts w:ascii="Times New Roman" w:hAnsi="Times New Roman"/>
          <w:sz w:val="20"/>
          <w:szCs w:val="20"/>
        </w:rPr>
      </w:pPr>
      <w:r w:rsidRPr="00B57F35">
        <w:rPr>
          <w:rFonts w:ascii="Times New Roman" w:hAnsi="Times New Roman"/>
          <w:sz w:val="20"/>
          <w:szCs w:val="20"/>
        </w:rPr>
        <w:t>építési, elvi építési, használatbavételi, fennmaradási és bontási engedélyezési eljárást folytat le, döntést hoz, ellenőriz és végrehajt;</w:t>
      </w:r>
    </w:p>
    <w:p w:rsidR="00AC5E54" w:rsidRPr="00B57F35" w:rsidRDefault="00AC5E54" w:rsidP="00B57F35">
      <w:pPr>
        <w:numPr>
          <w:ilvl w:val="0"/>
          <w:numId w:val="3"/>
        </w:numPr>
        <w:spacing w:after="0"/>
        <w:jc w:val="both"/>
        <w:rPr>
          <w:rFonts w:ascii="Times New Roman" w:hAnsi="Times New Roman"/>
          <w:sz w:val="20"/>
          <w:szCs w:val="20"/>
        </w:rPr>
      </w:pPr>
      <w:r w:rsidRPr="00B57F35">
        <w:rPr>
          <w:rFonts w:ascii="Times New Roman" w:hAnsi="Times New Roman"/>
          <w:sz w:val="20"/>
          <w:szCs w:val="20"/>
        </w:rPr>
        <w:t>hatósági bizonyítványt állít ki;</w:t>
      </w:r>
    </w:p>
    <w:p w:rsidR="00AC5E54" w:rsidRPr="00B57F35" w:rsidRDefault="00AC5E54" w:rsidP="00B57F35">
      <w:pPr>
        <w:numPr>
          <w:ilvl w:val="0"/>
          <w:numId w:val="3"/>
        </w:numPr>
        <w:spacing w:after="0"/>
        <w:jc w:val="both"/>
        <w:rPr>
          <w:rFonts w:ascii="Times New Roman" w:hAnsi="Times New Roman"/>
          <w:sz w:val="20"/>
          <w:szCs w:val="20"/>
        </w:rPr>
      </w:pPr>
      <w:r w:rsidRPr="00B57F35">
        <w:rPr>
          <w:rFonts w:ascii="Times New Roman" w:hAnsi="Times New Roman"/>
          <w:sz w:val="20"/>
          <w:szCs w:val="20"/>
        </w:rPr>
        <w:t>az építésügyi hatóságok számára előírt nyilvántartásokat vezeti, és adatokat szolgáltat a központi nyilvántartások számára;</w:t>
      </w:r>
    </w:p>
    <w:p w:rsidR="00AC5E54" w:rsidRPr="00B57F35" w:rsidRDefault="00AC5E54" w:rsidP="00B57F35">
      <w:pPr>
        <w:numPr>
          <w:ilvl w:val="0"/>
          <w:numId w:val="3"/>
        </w:numPr>
        <w:spacing w:after="0"/>
        <w:jc w:val="both"/>
        <w:rPr>
          <w:rFonts w:ascii="Times New Roman" w:hAnsi="Times New Roman"/>
          <w:sz w:val="20"/>
          <w:szCs w:val="20"/>
        </w:rPr>
      </w:pPr>
      <w:r w:rsidRPr="00B57F35">
        <w:rPr>
          <w:rFonts w:ascii="Times New Roman" w:hAnsi="Times New Roman"/>
          <w:sz w:val="20"/>
          <w:szCs w:val="20"/>
        </w:rPr>
        <w:t>a nemzetgazdasági szempontból kiemelt jelentőségű beruházásokat érintő közigazgatási ügyekben az azokról szóló jogszabályokban meghatározott hatáskörben eljár.</w:t>
      </w:r>
    </w:p>
    <w:p w:rsidR="00AC5E54" w:rsidRPr="00B57F35" w:rsidRDefault="00AC5E54" w:rsidP="00B57F35">
      <w:pPr>
        <w:spacing w:after="0"/>
        <w:jc w:val="both"/>
        <w:rPr>
          <w:rFonts w:ascii="Times New Roman" w:hAnsi="Times New Roman"/>
          <w:sz w:val="20"/>
          <w:szCs w:val="20"/>
          <w:u w:val="single"/>
        </w:rPr>
      </w:pPr>
    </w:p>
    <w:p w:rsidR="00AC5E54" w:rsidRPr="00B57F35" w:rsidRDefault="00AC5E54" w:rsidP="00B57F35">
      <w:pPr>
        <w:spacing w:after="0"/>
        <w:jc w:val="both"/>
        <w:rPr>
          <w:rFonts w:ascii="Times New Roman" w:hAnsi="Times New Roman"/>
          <w:sz w:val="20"/>
          <w:szCs w:val="20"/>
          <w:u w:val="single"/>
        </w:rPr>
      </w:pPr>
      <w:r w:rsidRPr="00B57F35">
        <w:rPr>
          <w:rFonts w:ascii="Times New Roman" w:hAnsi="Times New Roman"/>
          <w:sz w:val="20"/>
          <w:szCs w:val="20"/>
          <w:u w:val="single"/>
        </w:rPr>
        <w:t>c. A Hivatal mint mozgóképszakmai hatóság és előadó-művészeti államigazgatási szerv a Film- és Előadó-művészeti Iroda útján</w:t>
      </w:r>
    </w:p>
    <w:p w:rsidR="00AC5E54" w:rsidRPr="00B57F35" w:rsidRDefault="00AC5E54" w:rsidP="00B57F35">
      <w:pPr>
        <w:numPr>
          <w:ilvl w:val="0"/>
          <w:numId w:val="4"/>
        </w:numPr>
        <w:spacing w:after="0"/>
        <w:jc w:val="both"/>
        <w:rPr>
          <w:rFonts w:ascii="Times New Roman" w:hAnsi="Times New Roman"/>
          <w:sz w:val="20"/>
          <w:szCs w:val="20"/>
        </w:rPr>
      </w:pPr>
      <w:r w:rsidRPr="00B57F35">
        <w:rPr>
          <w:rFonts w:ascii="Times New Roman" w:hAnsi="Times New Roman"/>
          <w:sz w:val="20"/>
          <w:szCs w:val="20"/>
        </w:rPr>
        <w:t>a filmalkotásokat a kiskorúak védelme érdekében besorolja;</w:t>
      </w:r>
    </w:p>
    <w:p w:rsidR="00AC5E54" w:rsidRPr="00B57F35" w:rsidRDefault="00AC5E54" w:rsidP="00B57F35">
      <w:pPr>
        <w:numPr>
          <w:ilvl w:val="0"/>
          <w:numId w:val="4"/>
        </w:numPr>
        <w:spacing w:after="0"/>
        <w:jc w:val="both"/>
        <w:rPr>
          <w:rFonts w:ascii="Times New Roman" w:hAnsi="Times New Roman"/>
          <w:sz w:val="20"/>
          <w:szCs w:val="20"/>
        </w:rPr>
      </w:pPr>
      <w:r w:rsidRPr="00B57F35">
        <w:rPr>
          <w:rFonts w:ascii="Times New Roman" w:hAnsi="Times New Roman"/>
          <w:sz w:val="20"/>
          <w:szCs w:val="20"/>
        </w:rPr>
        <w:t>a művészeti értékű, vagy kulturális jelentőségük miatt támogatásra érdemes filmalkotásokat, valamint az ilyen filmalkotásokat terjesztő mozikat besorolja;</w:t>
      </w:r>
    </w:p>
    <w:p w:rsidR="00AC5E54" w:rsidRPr="00B57F35" w:rsidRDefault="00AC5E54" w:rsidP="00B57F35">
      <w:pPr>
        <w:numPr>
          <w:ilvl w:val="0"/>
          <w:numId w:val="4"/>
        </w:numPr>
        <w:spacing w:after="0"/>
        <w:jc w:val="both"/>
        <w:rPr>
          <w:rFonts w:ascii="Times New Roman" w:hAnsi="Times New Roman"/>
          <w:sz w:val="20"/>
          <w:szCs w:val="20"/>
        </w:rPr>
      </w:pPr>
      <w:r w:rsidRPr="00B57F35">
        <w:rPr>
          <w:rFonts w:ascii="Times New Roman" w:hAnsi="Times New Roman"/>
          <w:sz w:val="20"/>
          <w:szCs w:val="20"/>
        </w:rPr>
        <w:t>a támogatást igénylő mozgóképszakmai szervezetekről, természetes személyekről és filmalkotásokról, valamint a terjesztésre kerülő filmalkotásokról közhitelű nyilvántartást vezet;</w:t>
      </w:r>
    </w:p>
    <w:p w:rsidR="00AC5E54" w:rsidRPr="00B57F35" w:rsidRDefault="00AC5E54" w:rsidP="00B57F35">
      <w:pPr>
        <w:numPr>
          <w:ilvl w:val="0"/>
          <w:numId w:val="4"/>
        </w:numPr>
        <w:spacing w:after="0"/>
        <w:jc w:val="both"/>
        <w:rPr>
          <w:rFonts w:ascii="Times New Roman" w:hAnsi="Times New Roman"/>
          <w:sz w:val="20"/>
          <w:szCs w:val="20"/>
        </w:rPr>
      </w:pPr>
      <w:r w:rsidRPr="00B57F35">
        <w:rPr>
          <w:rFonts w:ascii="Times New Roman" w:hAnsi="Times New Roman"/>
          <w:sz w:val="20"/>
          <w:szCs w:val="20"/>
        </w:rPr>
        <w:t>a filmalkotásokat – amelyek előállításához támogatást igényelnek – a magyar filmalkotás, a magyar részvételű koprodukciós filmalkotás és a magyar részvételű filmalkotás kategóriák szerint besorolja;</w:t>
      </w:r>
    </w:p>
    <w:p w:rsidR="00AC5E54" w:rsidRPr="00B57F35" w:rsidRDefault="00AC5E54" w:rsidP="00B57F35">
      <w:pPr>
        <w:numPr>
          <w:ilvl w:val="0"/>
          <w:numId w:val="4"/>
        </w:numPr>
        <w:spacing w:after="0"/>
        <w:jc w:val="both"/>
        <w:rPr>
          <w:rFonts w:ascii="Times New Roman" w:hAnsi="Times New Roman"/>
          <w:sz w:val="20"/>
          <w:szCs w:val="20"/>
        </w:rPr>
      </w:pPr>
      <w:r w:rsidRPr="00B57F35">
        <w:rPr>
          <w:rFonts w:ascii="Times New Roman" w:hAnsi="Times New Roman"/>
          <w:sz w:val="20"/>
          <w:szCs w:val="20"/>
        </w:rPr>
        <w:t>igazolja a támogatások igénybevételére vonatkozó jogosultságot, valamint kiállítja az adókedvezményekre jogosító támogatási igazolást;</w:t>
      </w:r>
    </w:p>
    <w:p w:rsidR="00AC5E54" w:rsidRPr="00B57F35" w:rsidRDefault="00AC5E54" w:rsidP="00B57F35">
      <w:pPr>
        <w:numPr>
          <w:ilvl w:val="0"/>
          <w:numId w:val="4"/>
        </w:numPr>
        <w:spacing w:after="0"/>
        <w:jc w:val="both"/>
        <w:rPr>
          <w:rFonts w:ascii="Times New Roman" w:hAnsi="Times New Roman"/>
          <w:sz w:val="20"/>
          <w:szCs w:val="20"/>
        </w:rPr>
      </w:pPr>
      <w:r w:rsidRPr="00B57F35">
        <w:rPr>
          <w:rFonts w:ascii="Times New Roman" w:hAnsi="Times New Roman"/>
          <w:sz w:val="20"/>
          <w:szCs w:val="20"/>
        </w:rPr>
        <w:t xml:space="preserve">mozgóképszakmai statisztikai és adatszolgáltatási tevékenységet, valamint előadó-művészeti adatszolgáltatási tevékenységet végez; </w:t>
      </w:r>
    </w:p>
    <w:p w:rsidR="00AC5E54" w:rsidRPr="00B57F35" w:rsidRDefault="00AC5E54" w:rsidP="00B57F35">
      <w:pPr>
        <w:numPr>
          <w:ilvl w:val="0"/>
          <w:numId w:val="4"/>
        </w:numPr>
        <w:spacing w:after="0"/>
        <w:jc w:val="both"/>
        <w:rPr>
          <w:rFonts w:ascii="Times New Roman" w:hAnsi="Times New Roman"/>
          <w:sz w:val="20"/>
          <w:szCs w:val="20"/>
        </w:rPr>
      </w:pPr>
      <w:r w:rsidRPr="00B57F35">
        <w:rPr>
          <w:rFonts w:ascii="Times New Roman" w:hAnsi="Times New Roman"/>
          <w:sz w:val="20"/>
          <w:szCs w:val="20"/>
        </w:rPr>
        <w:t xml:space="preserve">ellátja a mozgóképről, valamint az előadó-művészeti szervezetek támogatásáról és sajátos foglalkoztatási szabályairól szóló törvényben vagy azok felhatalmazása alapján más jogszabályban meghatározott egyéb feladatokat </w:t>
      </w:r>
    </w:p>
    <w:p w:rsidR="00AC5E54" w:rsidRPr="00B57F35" w:rsidRDefault="00AC5E54" w:rsidP="00B57F35">
      <w:pPr>
        <w:numPr>
          <w:ilvl w:val="0"/>
          <w:numId w:val="4"/>
        </w:numPr>
        <w:spacing w:after="0"/>
        <w:jc w:val="both"/>
        <w:rPr>
          <w:rFonts w:ascii="Times New Roman" w:hAnsi="Times New Roman"/>
          <w:sz w:val="20"/>
          <w:szCs w:val="20"/>
        </w:rPr>
      </w:pPr>
      <w:r w:rsidRPr="00B57F35">
        <w:rPr>
          <w:rFonts w:ascii="Times New Roman" w:hAnsi="Times New Roman"/>
          <w:sz w:val="20"/>
          <w:szCs w:val="20"/>
        </w:rPr>
        <w:t xml:space="preserve">nyilvántartást vezet a költségvetési szervként vagy külön törvény szerint közhasznúvá minősített  szervezetként működő előadó-művészeti szervezetekről </w:t>
      </w:r>
    </w:p>
    <w:p w:rsidR="00AC5E54" w:rsidRPr="00B57F35" w:rsidRDefault="00AC5E54" w:rsidP="00B57F35">
      <w:pPr>
        <w:numPr>
          <w:ilvl w:val="0"/>
          <w:numId w:val="4"/>
        </w:numPr>
        <w:spacing w:after="0"/>
        <w:jc w:val="both"/>
        <w:rPr>
          <w:rFonts w:ascii="Times New Roman" w:hAnsi="Times New Roman"/>
          <w:sz w:val="20"/>
          <w:szCs w:val="20"/>
        </w:rPr>
      </w:pPr>
      <w:r w:rsidRPr="00B57F35">
        <w:rPr>
          <w:rFonts w:ascii="Times New Roman" w:hAnsi="Times New Roman"/>
          <w:sz w:val="20"/>
          <w:szCs w:val="20"/>
        </w:rPr>
        <w:t>az állam által fenntartott valamint az oktatási és kulturális miniszterrel kötött közszolgáltatási szerződéssel rendelkező szervezetek kivételével kérelemre vagy hivatalból besorolja az előadó-művészeti szervezeteket.</w:t>
      </w:r>
    </w:p>
    <w:p w:rsidR="00AC5E54" w:rsidRPr="00B57F35" w:rsidRDefault="00AC5E54" w:rsidP="00B57F35">
      <w:pPr>
        <w:spacing w:after="0"/>
        <w:jc w:val="both"/>
        <w:rPr>
          <w:rFonts w:ascii="Times New Roman" w:hAnsi="Times New Roman"/>
          <w:sz w:val="20"/>
          <w:szCs w:val="20"/>
        </w:rPr>
      </w:pPr>
    </w:p>
    <w:p w:rsidR="00AC5E54" w:rsidRPr="00B57F35" w:rsidRDefault="00AC5E54" w:rsidP="00B57F35">
      <w:pPr>
        <w:spacing w:after="0"/>
        <w:jc w:val="both"/>
        <w:rPr>
          <w:rFonts w:ascii="Times New Roman" w:hAnsi="Times New Roman"/>
          <w:sz w:val="20"/>
          <w:szCs w:val="20"/>
          <w:u w:val="single"/>
        </w:rPr>
      </w:pPr>
      <w:r w:rsidRPr="00B57F35">
        <w:rPr>
          <w:rFonts w:ascii="Times New Roman" w:hAnsi="Times New Roman"/>
          <w:sz w:val="20"/>
          <w:szCs w:val="20"/>
          <w:u w:val="single"/>
        </w:rPr>
        <w:t>d. A Hivatal mint lapnyilvántartási hatóság</w:t>
      </w:r>
    </w:p>
    <w:p w:rsidR="00AC5E54" w:rsidRPr="00B57F35" w:rsidRDefault="00AC5E54" w:rsidP="00B57F35">
      <w:pPr>
        <w:spacing w:after="0"/>
        <w:jc w:val="both"/>
        <w:rPr>
          <w:rFonts w:ascii="Times New Roman" w:hAnsi="Times New Roman"/>
          <w:sz w:val="20"/>
          <w:szCs w:val="20"/>
        </w:rPr>
      </w:pPr>
      <w:r w:rsidRPr="00B57F35">
        <w:rPr>
          <w:rFonts w:ascii="Times New Roman" w:hAnsi="Times New Roman"/>
          <w:sz w:val="20"/>
          <w:szCs w:val="20"/>
        </w:rPr>
        <w:t>Az időszaki lapok nyilvántartási feladatait ellátja a sajtóról szóló 1986. évi II. törvény és a sajtóról szóló 1986. évi II. törvény végrehajtásáról szóló 12/1986. (VI.22.) MT rendelet szerint, így különösen</w:t>
      </w:r>
    </w:p>
    <w:p w:rsidR="00AC5E54" w:rsidRPr="00B57F35" w:rsidRDefault="00AC5E54" w:rsidP="00B57F35">
      <w:pPr>
        <w:numPr>
          <w:ilvl w:val="0"/>
          <w:numId w:val="5"/>
        </w:numPr>
        <w:spacing w:after="0"/>
        <w:jc w:val="both"/>
        <w:rPr>
          <w:rFonts w:ascii="Times New Roman" w:hAnsi="Times New Roman"/>
          <w:sz w:val="20"/>
          <w:szCs w:val="20"/>
        </w:rPr>
      </w:pPr>
      <w:r w:rsidRPr="00B57F35">
        <w:rPr>
          <w:rFonts w:ascii="Times New Roman" w:hAnsi="Times New Roman"/>
          <w:sz w:val="20"/>
          <w:szCs w:val="20"/>
        </w:rPr>
        <w:t>az időszaki lapokat nyilvántartásba veszi;</w:t>
      </w:r>
    </w:p>
    <w:p w:rsidR="00AC5E54" w:rsidRPr="00B57F35" w:rsidRDefault="00AC5E54" w:rsidP="00B57F35">
      <w:pPr>
        <w:numPr>
          <w:ilvl w:val="0"/>
          <w:numId w:val="5"/>
        </w:numPr>
        <w:spacing w:after="0"/>
        <w:jc w:val="both"/>
        <w:rPr>
          <w:rFonts w:ascii="Times New Roman" w:hAnsi="Times New Roman"/>
          <w:sz w:val="20"/>
          <w:szCs w:val="20"/>
        </w:rPr>
      </w:pPr>
      <w:r w:rsidRPr="00B57F35">
        <w:rPr>
          <w:rFonts w:ascii="Times New Roman" w:hAnsi="Times New Roman"/>
          <w:sz w:val="20"/>
          <w:szCs w:val="20"/>
        </w:rPr>
        <w:t>az adataikat módosítja;</w:t>
      </w:r>
    </w:p>
    <w:p w:rsidR="00AC5E54" w:rsidRPr="00B57F35" w:rsidRDefault="00AC5E54" w:rsidP="00B57F35">
      <w:pPr>
        <w:numPr>
          <w:ilvl w:val="0"/>
          <w:numId w:val="5"/>
        </w:numPr>
        <w:spacing w:after="0"/>
        <w:jc w:val="both"/>
        <w:rPr>
          <w:rFonts w:ascii="Times New Roman" w:hAnsi="Times New Roman"/>
          <w:sz w:val="20"/>
          <w:szCs w:val="20"/>
        </w:rPr>
      </w:pPr>
      <w:r w:rsidRPr="00B57F35">
        <w:rPr>
          <w:rFonts w:ascii="Times New Roman" w:hAnsi="Times New Roman"/>
          <w:sz w:val="20"/>
          <w:szCs w:val="20"/>
        </w:rPr>
        <w:t>a törvényben meghatározott esetekben a lapot a nyilvántartásból törli.</w:t>
      </w:r>
    </w:p>
    <w:p w:rsidR="00AC5E54" w:rsidRPr="00B57F35" w:rsidRDefault="00AC5E54" w:rsidP="00B57F35">
      <w:pPr>
        <w:spacing w:after="0"/>
        <w:jc w:val="both"/>
        <w:rPr>
          <w:rFonts w:ascii="Times New Roman" w:hAnsi="Times New Roman"/>
          <w:sz w:val="20"/>
          <w:szCs w:val="20"/>
        </w:rPr>
      </w:pPr>
    </w:p>
    <w:p w:rsidR="00AC5E54" w:rsidRPr="00B57F35" w:rsidRDefault="00AC5E54" w:rsidP="00B57F35">
      <w:pPr>
        <w:spacing w:after="0"/>
        <w:jc w:val="both"/>
        <w:rPr>
          <w:rFonts w:ascii="Times New Roman" w:hAnsi="Times New Roman"/>
          <w:sz w:val="20"/>
          <w:szCs w:val="20"/>
          <w:u w:val="single"/>
        </w:rPr>
      </w:pPr>
      <w:r w:rsidRPr="00B57F35">
        <w:rPr>
          <w:rFonts w:ascii="Times New Roman" w:hAnsi="Times New Roman"/>
          <w:sz w:val="20"/>
          <w:szCs w:val="20"/>
          <w:u w:val="single"/>
        </w:rPr>
        <w:t>A Hivatal mindezeken túl</w:t>
      </w:r>
    </w:p>
    <w:p w:rsidR="00AC5E54" w:rsidRPr="00B57F35" w:rsidRDefault="00AC5E54" w:rsidP="00B57F35">
      <w:pPr>
        <w:numPr>
          <w:ilvl w:val="0"/>
          <w:numId w:val="6"/>
        </w:numPr>
        <w:spacing w:after="0"/>
        <w:jc w:val="both"/>
        <w:rPr>
          <w:rFonts w:ascii="Times New Roman" w:hAnsi="Times New Roman"/>
          <w:sz w:val="20"/>
          <w:szCs w:val="20"/>
        </w:rPr>
      </w:pPr>
      <w:r w:rsidRPr="00B57F35">
        <w:rPr>
          <w:rFonts w:ascii="Times New Roman" w:hAnsi="Times New Roman"/>
          <w:sz w:val="20"/>
          <w:szCs w:val="20"/>
        </w:rPr>
        <w:t>közreműködik az örökségvédelmi szakemberképzés szakirányú feladatainak ellátásában;</w:t>
      </w:r>
    </w:p>
    <w:p w:rsidR="00AC5E54" w:rsidRPr="00B57F35" w:rsidRDefault="00AC5E54" w:rsidP="00B57F35">
      <w:pPr>
        <w:numPr>
          <w:ilvl w:val="0"/>
          <w:numId w:val="6"/>
        </w:numPr>
        <w:spacing w:after="0"/>
        <w:jc w:val="both"/>
        <w:rPr>
          <w:rFonts w:ascii="Times New Roman" w:hAnsi="Times New Roman"/>
          <w:sz w:val="20"/>
          <w:szCs w:val="20"/>
        </w:rPr>
      </w:pPr>
      <w:r w:rsidRPr="00B57F35">
        <w:rPr>
          <w:rFonts w:ascii="Times New Roman" w:hAnsi="Times New Roman"/>
          <w:sz w:val="20"/>
          <w:szCs w:val="20"/>
        </w:rPr>
        <w:t>közreműködik az örökségvédelmet érintő ismeretterjesztő és közművelődési feladatok megoldásában;</w:t>
      </w:r>
    </w:p>
    <w:p w:rsidR="00AC5E54" w:rsidRPr="00B57F35" w:rsidRDefault="00AC5E54" w:rsidP="00B57F35">
      <w:pPr>
        <w:numPr>
          <w:ilvl w:val="0"/>
          <w:numId w:val="6"/>
        </w:numPr>
        <w:spacing w:after="0"/>
        <w:jc w:val="both"/>
        <w:rPr>
          <w:rFonts w:ascii="Times New Roman" w:hAnsi="Times New Roman"/>
          <w:sz w:val="20"/>
          <w:szCs w:val="20"/>
        </w:rPr>
      </w:pPr>
      <w:r w:rsidRPr="00B57F35">
        <w:rPr>
          <w:rFonts w:ascii="Times New Roman" w:hAnsi="Times New Roman"/>
          <w:sz w:val="20"/>
          <w:szCs w:val="20"/>
        </w:rPr>
        <w:t>kapcsolatot tart a kulturális örökségvédelem szervezeteivel és mozgalmaival, segíti azok tevékenységét;</w:t>
      </w:r>
    </w:p>
    <w:p w:rsidR="00AC5E54" w:rsidRPr="00B57F35" w:rsidRDefault="00AC5E54" w:rsidP="00B57F35">
      <w:pPr>
        <w:numPr>
          <w:ilvl w:val="0"/>
          <w:numId w:val="6"/>
        </w:numPr>
        <w:spacing w:after="0"/>
        <w:jc w:val="both"/>
        <w:rPr>
          <w:rFonts w:ascii="Times New Roman" w:hAnsi="Times New Roman"/>
          <w:sz w:val="20"/>
          <w:szCs w:val="20"/>
        </w:rPr>
      </w:pPr>
      <w:r w:rsidRPr="00B57F35">
        <w:rPr>
          <w:rFonts w:ascii="Times New Roman" w:hAnsi="Times New Roman"/>
          <w:sz w:val="20"/>
          <w:szCs w:val="20"/>
        </w:rPr>
        <w:t>kapcsolatot tart külföldi és nemzetközi szakmai szervezetekkel, külföldi társhatóságokkal és társintézményekkel;</w:t>
      </w:r>
    </w:p>
    <w:p w:rsidR="00AC5E54" w:rsidRPr="00B57F35" w:rsidRDefault="00AC5E54" w:rsidP="00B57F35">
      <w:pPr>
        <w:numPr>
          <w:ilvl w:val="0"/>
          <w:numId w:val="6"/>
        </w:numPr>
        <w:spacing w:after="0"/>
        <w:jc w:val="both"/>
        <w:rPr>
          <w:rFonts w:ascii="Times New Roman" w:hAnsi="Times New Roman"/>
          <w:sz w:val="20"/>
          <w:szCs w:val="20"/>
        </w:rPr>
      </w:pPr>
      <w:r w:rsidRPr="00B57F35">
        <w:rPr>
          <w:rFonts w:ascii="Times New Roman" w:hAnsi="Times New Roman"/>
          <w:sz w:val="20"/>
          <w:szCs w:val="20"/>
        </w:rPr>
        <w:t>gondoskodik a tudományos gyűjteményeinek gyarapításáról, állományvédelméről, megfelelő használatáról és hozzáférhetővé tételéről;</w:t>
      </w:r>
    </w:p>
    <w:p w:rsidR="00AC5E54" w:rsidRPr="00B57F35" w:rsidRDefault="00AC5E54" w:rsidP="00B57F35">
      <w:pPr>
        <w:numPr>
          <w:ilvl w:val="0"/>
          <w:numId w:val="6"/>
        </w:numPr>
        <w:spacing w:after="0"/>
        <w:jc w:val="both"/>
        <w:rPr>
          <w:rFonts w:ascii="Times New Roman" w:hAnsi="Times New Roman"/>
          <w:sz w:val="20"/>
          <w:szCs w:val="20"/>
        </w:rPr>
      </w:pPr>
      <w:r w:rsidRPr="00B57F35">
        <w:rPr>
          <w:rFonts w:ascii="Times New Roman" w:hAnsi="Times New Roman"/>
          <w:sz w:val="20"/>
          <w:szCs w:val="20"/>
        </w:rPr>
        <w:t>örökségvédelmi hatósági feladatai ellátásához szükséges szakértői (szakreferensi) tevékenységet lát el.</w:t>
      </w:r>
    </w:p>
    <w:p w:rsidR="00AC5E54" w:rsidRPr="00B57F35" w:rsidRDefault="00AC5E54" w:rsidP="00B57F35">
      <w:pPr>
        <w:spacing w:after="0"/>
        <w:jc w:val="both"/>
        <w:rPr>
          <w:rFonts w:ascii="Times New Roman" w:hAnsi="Times New Roman"/>
          <w:sz w:val="20"/>
          <w:szCs w:val="20"/>
        </w:rPr>
      </w:pPr>
    </w:p>
    <w:p w:rsidR="00AC5E54" w:rsidRPr="00B57F35" w:rsidRDefault="00AC5E54" w:rsidP="00B57F35">
      <w:pPr>
        <w:spacing w:after="0"/>
        <w:jc w:val="both"/>
        <w:rPr>
          <w:rFonts w:ascii="Times New Roman" w:hAnsi="Times New Roman"/>
          <w:b/>
          <w:sz w:val="20"/>
          <w:szCs w:val="20"/>
        </w:rPr>
      </w:pPr>
      <w:r w:rsidRPr="00B57F35">
        <w:rPr>
          <w:rFonts w:ascii="Times New Roman" w:hAnsi="Times New Roman"/>
          <w:b/>
          <w:sz w:val="20"/>
          <w:szCs w:val="20"/>
        </w:rPr>
        <w:t>A hivatal működését érdemben befolyásoló körülmények:</w:t>
      </w:r>
    </w:p>
    <w:p w:rsidR="00AC5E54" w:rsidRPr="00B57F35" w:rsidRDefault="00AC5E54" w:rsidP="00B57F35">
      <w:pPr>
        <w:spacing w:after="0"/>
        <w:jc w:val="both"/>
        <w:rPr>
          <w:rFonts w:ascii="Times New Roman" w:hAnsi="Times New Roman"/>
          <w:b/>
          <w:sz w:val="20"/>
          <w:szCs w:val="20"/>
        </w:rPr>
      </w:pPr>
    </w:p>
    <w:p w:rsidR="00AC5E54" w:rsidRPr="00B57F35" w:rsidRDefault="00AC5E54" w:rsidP="00B57F35">
      <w:pPr>
        <w:ind w:firstLine="708"/>
        <w:jc w:val="both"/>
        <w:rPr>
          <w:rFonts w:ascii="Times New Roman" w:hAnsi="Times New Roman"/>
          <w:sz w:val="20"/>
          <w:szCs w:val="20"/>
        </w:rPr>
      </w:pPr>
      <w:r w:rsidRPr="00B57F35">
        <w:rPr>
          <w:rFonts w:ascii="Times New Roman" w:hAnsi="Times New Roman"/>
          <w:sz w:val="20"/>
          <w:szCs w:val="20"/>
        </w:rPr>
        <w:t xml:space="preserve">Hivatalom 2010. évi gazdálkodása, mint azt korábban is jeleztük a költségvetési támogatás jelentős csökkenése miatt súlyos forráshiányt mutat, az I. negyedévi tényadatok alapján. </w:t>
      </w:r>
    </w:p>
    <w:p w:rsidR="00AC5E54" w:rsidRPr="00B57F35" w:rsidRDefault="00AC5E54" w:rsidP="00B57F35">
      <w:pPr>
        <w:spacing w:before="120"/>
        <w:ind w:firstLine="708"/>
        <w:jc w:val="both"/>
        <w:rPr>
          <w:rFonts w:ascii="Times New Roman" w:hAnsi="Times New Roman"/>
          <w:sz w:val="20"/>
          <w:szCs w:val="20"/>
        </w:rPr>
      </w:pPr>
      <w:r w:rsidRPr="00B57F35">
        <w:rPr>
          <w:rFonts w:ascii="Times New Roman" w:hAnsi="Times New Roman"/>
          <w:sz w:val="20"/>
          <w:szCs w:val="20"/>
        </w:rPr>
        <w:t xml:space="preserve">A 2010 évi dologi kiadások eredeti előirányzata – a támogatás elvonás miatt - 388.000,- eFt, ezzel szemben már 2009. évben is csak az üzemeltetési költségek (ingatlan bérleti díj, gáz, villany, távhő-, víz- csatorna karbantartási és egyéb üzemeltetési költség) összege volt 414.000,- eFt.  </w:t>
      </w:r>
    </w:p>
    <w:p w:rsidR="00AC5E54" w:rsidRPr="00B57F35" w:rsidRDefault="00AC5E54" w:rsidP="00B57F35">
      <w:pPr>
        <w:spacing w:before="120"/>
        <w:jc w:val="both"/>
        <w:rPr>
          <w:rFonts w:ascii="Times New Roman" w:hAnsi="Times New Roman"/>
          <w:sz w:val="20"/>
          <w:szCs w:val="20"/>
        </w:rPr>
      </w:pPr>
      <w:r w:rsidRPr="00B57F35">
        <w:rPr>
          <w:rFonts w:ascii="Times New Roman" w:hAnsi="Times New Roman"/>
          <w:sz w:val="20"/>
          <w:szCs w:val="20"/>
        </w:rPr>
        <w:t xml:space="preserve">Az intézmény 2010.05.14-ig 721.000,- eFt dologi és egyéb folyó kiadásra vállalt kötelezettséget, amelyre az egyéb kiemelt előirányzatok (személyi járulék és beruházási) „várható megtakarításai” biztosítanak pénzügyi fedezetet. Ezek a kötelezettségvállalások azonban nem tartalmazzák még azokat a rendszeresen ismétlődő kiadásokat, amelyeket a hivatal a valós igények alapján a szigorú takarékossági intézkedések mellett rendel és vásárol meg, mint az irodaszerek, szakmai és egyéb anyagok, a karbantartási és üzemeltetési költségek előre nem látható és tervezhető része, valamint a szakmai munkát segítő egyedi megbízási szerződések, amelyeket a hivatal saját dolgozóival nem tud ellátni. </w:t>
      </w:r>
    </w:p>
    <w:p w:rsidR="00AC5E54" w:rsidRPr="00B57F35" w:rsidRDefault="00AC5E54" w:rsidP="00B57F35">
      <w:pPr>
        <w:spacing w:before="120"/>
        <w:jc w:val="both"/>
        <w:rPr>
          <w:rFonts w:ascii="Times New Roman" w:hAnsi="Times New Roman"/>
          <w:sz w:val="20"/>
          <w:szCs w:val="20"/>
        </w:rPr>
      </w:pPr>
      <w:r w:rsidRPr="00B57F35">
        <w:rPr>
          <w:rFonts w:ascii="Times New Roman" w:hAnsi="Times New Roman"/>
          <w:b/>
          <w:sz w:val="20"/>
          <w:szCs w:val="20"/>
        </w:rPr>
        <w:t>Jelen állapotban az intézmény pénzforrás hiányában legfeljebb további 40 mFt kötelezettséget vállalhat.</w:t>
      </w:r>
      <w:r w:rsidRPr="00B57F35">
        <w:rPr>
          <w:rFonts w:ascii="Times New Roman" w:hAnsi="Times New Roman"/>
          <w:sz w:val="20"/>
          <w:szCs w:val="20"/>
        </w:rPr>
        <w:t xml:space="preserve"> A 2009. és 2010. évi központi elvonások ellenére hivatalomnak sikerült a likviditását megőriznie. </w:t>
      </w:r>
    </w:p>
    <w:p w:rsidR="00AC5E54" w:rsidRPr="00B57F35" w:rsidRDefault="00AC5E54" w:rsidP="00B57F35">
      <w:pPr>
        <w:pStyle w:val="Title"/>
        <w:jc w:val="both"/>
        <w:rPr>
          <w:rFonts w:ascii="Times New Roman" w:hAnsi="Times New Roman" w:cs="Times New Roman"/>
          <w:sz w:val="20"/>
          <w:szCs w:val="20"/>
        </w:rPr>
      </w:pPr>
      <w:r w:rsidRPr="00B57F35">
        <w:rPr>
          <w:rFonts w:ascii="Times New Roman" w:hAnsi="Times New Roman" w:cs="Times New Roman"/>
          <w:sz w:val="20"/>
          <w:szCs w:val="20"/>
        </w:rPr>
        <w:t>Beszámoló a Kulturális Örökségvédelmi Hivatal 2010. évi költségvetési helyzetéről</w:t>
      </w:r>
    </w:p>
    <w:p w:rsidR="00AC5E54" w:rsidRPr="00B57F35" w:rsidRDefault="00AC5E54" w:rsidP="00B57F35">
      <w:pPr>
        <w:pStyle w:val="Title"/>
        <w:jc w:val="both"/>
        <w:rPr>
          <w:rFonts w:ascii="Times New Roman" w:hAnsi="Times New Roman" w:cs="Times New Roman"/>
          <w:sz w:val="20"/>
          <w:szCs w:val="20"/>
        </w:rPr>
      </w:pPr>
    </w:p>
    <w:p w:rsidR="00AC5E54" w:rsidRPr="00B57F35" w:rsidRDefault="00AC5E54" w:rsidP="00B57F35">
      <w:pPr>
        <w:pStyle w:val="Title"/>
        <w:jc w:val="both"/>
        <w:rPr>
          <w:rFonts w:ascii="Times New Roman" w:hAnsi="Times New Roman" w:cs="Times New Roman"/>
          <w:sz w:val="20"/>
          <w:szCs w:val="20"/>
        </w:rPr>
      </w:pPr>
    </w:p>
    <w:p w:rsidR="00AC5E54" w:rsidRPr="00B57F35" w:rsidRDefault="00AC5E54" w:rsidP="00B57F35">
      <w:pPr>
        <w:autoSpaceDE w:val="0"/>
        <w:autoSpaceDN w:val="0"/>
        <w:adjustRightInd w:val="0"/>
        <w:spacing w:line="240" w:lineRule="atLeast"/>
        <w:jc w:val="both"/>
        <w:rPr>
          <w:rFonts w:ascii="Times New Roman" w:hAnsi="Times New Roman"/>
          <w:color w:val="000000"/>
          <w:sz w:val="20"/>
          <w:szCs w:val="20"/>
        </w:rPr>
      </w:pPr>
      <w:r w:rsidRPr="00B57F35">
        <w:rPr>
          <w:rFonts w:ascii="Times New Roman" w:hAnsi="Times New Roman"/>
          <w:sz w:val="20"/>
          <w:szCs w:val="20"/>
        </w:rPr>
        <w:tab/>
      </w:r>
      <w:r w:rsidRPr="00B57F35">
        <w:rPr>
          <w:rFonts w:ascii="Times New Roman" w:hAnsi="Times New Roman"/>
          <w:b/>
          <w:sz w:val="20"/>
          <w:szCs w:val="20"/>
        </w:rPr>
        <w:t>A hivatal</w:t>
      </w:r>
      <w:r w:rsidRPr="00B57F35">
        <w:rPr>
          <w:rFonts w:ascii="Times New Roman" w:hAnsi="Times New Roman"/>
          <w:sz w:val="20"/>
          <w:szCs w:val="20"/>
        </w:rPr>
        <w:t xml:space="preserve"> </w:t>
      </w:r>
      <w:r w:rsidRPr="00B57F35">
        <w:rPr>
          <w:rFonts w:ascii="Times New Roman" w:hAnsi="Times New Roman"/>
          <w:b/>
          <w:sz w:val="20"/>
          <w:szCs w:val="20"/>
        </w:rPr>
        <w:t xml:space="preserve">2010. évi jóváhagyott költségvetési előirányzatait vizsgálva </w:t>
      </w:r>
      <w:r w:rsidRPr="00B57F35">
        <w:rPr>
          <w:rFonts w:ascii="Times New Roman" w:hAnsi="Times New Roman"/>
          <w:b/>
          <w:bCs/>
          <w:sz w:val="20"/>
          <w:szCs w:val="20"/>
        </w:rPr>
        <w:t xml:space="preserve">összefoglalva megállapítható, hogy a központi támogatás csökkentése olyan mértékű, hogy a </w:t>
      </w:r>
      <w:r w:rsidRPr="00B57F35">
        <w:rPr>
          <w:rFonts w:ascii="Times New Roman" w:hAnsi="Times New Roman"/>
          <w:sz w:val="20"/>
          <w:szCs w:val="20"/>
        </w:rPr>
        <w:t xml:space="preserve">hivatal alapfeladatainak működéséhez szükséges forrásokat nem biztosítja. Nemcsak a hivatal dolgozóinak jutalmazására nem nyújt fedezetet, hanem a dologi kiadásokra sem. Már a tavaly rendelkezésre álló források sem nyújtottak fedezetet a jutalmak kifizetésére, de 2010. évben tovább romlott a helyzet, hogy már az üzemeltetésnek sincs meg a forrása. </w:t>
      </w:r>
      <w:r w:rsidRPr="00B57F35">
        <w:rPr>
          <w:rFonts w:ascii="Times New Roman" w:hAnsi="Times New Roman"/>
          <w:b/>
          <w:sz w:val="20"/>
          <w:szCs w:val="20"/>
        </w:rPr>
        <w:t xml:space="preserve">Nemcsak az elvonás mértéke, hanem a végrehajtás időbeli ütemezése is gazdálkodási problémát okoz, mert a megkötött szerződések újratárgyalása hosszabb időszükségletű. Az irodai munkavégzés biztosítására bérelt ingatlanok bérleti díja hosszabb távon merül fel, illetve vannak olyan fizetési kötelezettségek, amelyek nemhogy nem csökkenthetőek, hanem jogszabály módosítással jelentősen nőttek és többlet terhet rónak a hivatalra pl. a rehabilitációs hozzájárulás éves szinten 3 mFt-ról mintegy 15 mFt-ra nőtt. </w:t>
      </w:r>
    </w:p>
    <w:p w:rsidR="00AC5E54" w:rsidRDefault="00AC5E54" w:rsidP="00B57F35">
      <w:pPr>
        <w:pStyle w:val="Title"/>
        <w:jc w:val="both"/>
        <w:rPr>
          <w:rFonts w:ascii="Times New Roman" w:hAnsi="Times New Roman" w:cs="Times New Roman"/>
          <w:sz w:val="20"/>
          <w:szCs w:val="20"/>
        </w:rPr>
      </w:pPr>
    </w:p>
    <w:p w:rsidR="00AC5E54" w:rsidRPr="00B57F35" w:rsidRDefault="00AC5E54" w:rsidP="00B57F35">
      <w:pPr>
        <w:pStyle w:val="Title"/>
        <w:jc w:val="both"/>
        <w:rPr>
          <w:rFonts w:ascii="Times New Roman" w:hAnsi="Times New Roman" w:cs="Times New Roman"/>
          <w:sz w:val="20"/>
          <w:szCs w:val="20"/>
        </w:rPr>
      </w:pPr>
    </w:p>
    <w:p w:rsidR="00AC5E54" w:rsidRPr="00B57F35" w:rsidRDefault="00AC5E54" w:rsidP="00B57F35">
      <w:pPr>
        <w:pStyle w:val="Title"/>
        <w:numPr>
          <w:ilvl w:val="0"/>
          <w:numId w:val="8"/>
        </w:numPr>
        <w:jc w:val="both"/>
        <w:rPr>
          <w:rFonts w:ascii="Times New Roman" w:hAnsi="Times New Roman" w:cs="Times New Roman"/>
          <w:caps/>
          <w:sz w:val="20"/>
          <w:szCs w:val="20"/>
        </w:rPr>
      </w:pPr>
      <w:r w:rsidRPr="00B57F35">
        <w:rPr>
          <w:rFonts w:ascii="Times New Roman" w:hAnsi="Times New Roman" w:cs="Times New Roman"/>
          <w:caps/>
          <w:sz w:val="20"/>
          <w:szCs w:val="20"/>
        </w:rPr>
        <w:t>Bevételek</w:t>
      </w:r>
    </w:p>
    <w:p w:rsidR="00AC5E54" w:rsidRPr="00B57F35" w:rsidRDefault="00AC5E54" w:rsidP="00B57F35">
      <w:pPr>
        <w:pStyle w:val="Title"/>
        <w:jc w:val="both"/>
        <w:rPr>
          <w:rFonts w:ascii="Times New Roman" w:hAnsi="Times New Roman" w:cs="Times New Roman"/>
          <w:caps/>
          <w:sz w:val="20"/>
          <w:szCs w:val="20"/>
        </w:rPr>
      </w:pPr>
    </w:p>
    <w:p w:rsidR="00AC5E54" w:rsidRPr="00B57F35" w:rsidRDefault="00AC5E54" w:rsidP="00B57F35">
      <w:pPr>
        <w:pStyle w:val="Title"/>
        <w:numPr>
          <w:ilvl w:val="1"/>
          <w:numId w:val="9"/>
        </w:numPr>
        <w:spacing w:before="200"/>
        <w:ind w:left="714" w:hanging="357"/>
        <w:jc w:val="both"/>
        <w:rPr>
          <w:rFonts w:ascii="Times New Roman" w:hAnsi="Times New Roman" w:cs="Times New Roman"/>
          <w:sz w:val="20"/>
          <w:szCs w:val="20"/>
        </w:rPr>
      </w:pPr>
      <w:r w:rsidRPr="00B57F35">
        <w:rPr>
          <w:rFonts w:ascii="Times New Roman" w:hAnsi="Times New Roman" w:cs="Times New Roman"/>
          <w:sz w:val="20"/>
          <w:szCs w:val="20"/>
        </w:rPr>
        <w:t xml:space="preserve"> Költségvetési támogatás</w:t>
      </w:r>
    </w:p>
    <w:p w:rsidR="00AC5E54" w:rsidRPr="00B57F35" w:rsidRDefault="00AC5E54" w:rsidP="00B57F35">
      <w:pPr>
        <w:pStyle w:val="Title"/>
        <w:spacing w:before="120"/>
        <w:jc w:val="both"/>
        <w:rPr>
          <w:rFonts w:ascii="Times New Roman" w:hAnsi="Times New Roman" w:cs="Times New Roman"/>
          <w:sz w:val="20"/>
          <w:szCs w:val="20"/>
        </w:rPr>
      </w:pPr>
      <w:r w:rsidRPr="00B57F35">
        <w:rPr>
          <w:rFonts w:ascii="Times New Roman" w:hAnsi="Times New Roman" w:cs="Times New Roman"/>
          <w:sz w:val="20"/>
          <w:szCs w:val="20"/>
        </w:rPr>
        <w:tab/>
      </w:r>
      <w:r w:rsidRPr="00B57F35">
        <w:rPr>
          <w:rFonts w:ascii="Times New Roman" w:hAnsi="Times New Roman" w:cs="Times New Roman"/>
          <w:b w:val="0"/>
          <w:sz w:val="20"/>
          <w:szCs w:val="20"/>
        </w:rPr>
        <w:t>A Költségvetési támogatásunk visszacsökkent a 2006. évi szint alá, amely a Filmiroda akkori támogatása (179.300,-eFt) nélkül volt 2.493.400,-eFt.</w:t>
      </w:r>
      <w:r w:rsidRPr="00B57F35">
        <w:rPr>
          <w:rFonts w:ascii="Times New Roman" w:hAnsi="Times New Roman" w:cs="Times New Roman"/>
          <w:sz w:val="20"/>
          <w:szCs w:val="20"/>
        </w:rPr>
        <w:t xml:space="preserve"> </w:t>
      </w:r>
      <w:r w:rsidRPr="00B57F35">
        <w:rPr>
          <w:rFonts w:ascii="Times New Roman" w:hAnsi="Times New Roman" w:cs="Times New Roman"/>
          <w:b w:val="0"/>
          <w:sz w:val="20"/>
          <w:szCs w:val="20"/>
        </w:rPr>
        <w:t xml:space="preserve">A központi támogatás 2009. évi eredeti előirányzata 2.479.820 eFt volt, a </w:t>
      </w:r>
      <w:r w:rsidRPr="00B57F35">
        <w:rPr>
          <w:rFonts w:ascii="Times New Roman" w:hAnsi="Times New Roman" w:cs="Times New Roman"/>
          <w:sz w:val="20"/>
          <w:szCs w:val="20"/>
        </w:rPr>
        <w:t>2010. évi pedig a zárolások bázisba építésével és további elvonással mindössze 2.194.220 eFt.</w:t>
      </w:r>
    </w:p>
    <w:p w:rsidR="00AC5E54" w:rsidRPr="00B57F35" w:rsidRDefault="00AC5E54" w:rsidP="00B57F35">
      <w:pPr>
        <w:pStyle w:val="Title"/>
        <w:jc w:val="both"/>
        <w:rPr>
          <w:rFonts w:ascii="Times New Roman" w:hAnsi="Times New Roman" w:cs="Times New Roman"/>
          <w:sz w:val="20"/>
          <w:szCs w:val="20"/>
        </w:rPr>
      </w:pPr>
    </w:p>
    <w:p w:rsidR="00AC5E54" w:rsidRPr="00B57F35" w:rsidRDefault="00AC5E54" w:rsidP="00B57F35">
      <w:pPr>
        <w:pStyle w:val="Title"/>
        <w:jc w:val="both"/>
        <w:rPr>
          <w:rFonts w:ascii="Times New Roman" w:hAnsi="Times New Roman" w:cs="Times New Roman"/>
          <w:sz w:val="20"/>
          <w:szCs w:val="20"/>
        </w:rPr>
      </w:pPr>
      <w:r w:rsidRPr="00B43266">
        <w:rPr>
          <w:rFonts w:ascii="Times New Roman" w:hAnsi="Times New Roman" w:cs="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i1025" type="#_x0000_t75" style="width:450pt;height:211.5pt;visibility:visible">
            <v:imagedata r:id="rId5" o:title=""/>
          </v:shape>
        </w:pict>
      </w:r>
    </w:p>
    <w:p w:rsidR="00AC5E54" w:rsidRPr="00B57F35" w:rsidRDefault="00AC5E54" w:rsidP="00B57F35">
      <w:pPr>
        <w:pStyle w:val="Title"/>
        <w:jc w:val="both"/>
        <w:rPr>
          <w:rFonts w:ascii="Times New Roman" w:hAnsi="Times New Roman" w:cs="Times New Roman"/>
          <w:sz w:val="20"/>
          <w:szCs w:val="20"/>
        </w:rPr>
      </w:pPr>
    </w:p>
    <w:p w:rsidR="00AC5E54" w:rsidRDefault="00AC5E54" w:rsidP="00B57F35">
      <w:pPr>
        <w:ind w:firstLine="708"/>
        <w:jc w:val="both"/>
        <w:rPr>
          <w:rFonts w:ascii="Times New Roman" w:hAnsi="Times New Roman"/>
          <w:sz w:val="20"/>
          <w:szCs w:val="20"/>
        </w:rPr>
      </w:pPr>
      <w:r w:rsidRPr="00B57F35">
        <w:rPr>
          <w:rFonts w:ascii="Times New Roman" w:hAnsi="Times New Roman"/>
          <w:sz w:val="20"/>
          <w:szCs w:val="20"/>
        </w:rPr>
        <w:t xml:space="preserve">A fenti adatok – amelyek a hivatal eredeti költségvetési támogatási előirányzatait tartalmazzák - alapján az látszik, hogy amennyiben a 2008. évi szinthez hasonlítjuk a 2010. évben rendelkezésre álló forrásokat, a </w:t>
      </w:r>
      <w:r w:rsidRPr="00B57F35">
        <w:rPr>
          <w:rFonts w:ascii="Times New Roman" w:hAnsi="Times New Roman"/>
          <w:b/>
          <w:sz w:val="20"/>
          <w:szCs w:val="20"/>
        </w:rPr>
        <w:t>központi támogatás</w:t>
      </w:r>
      <w:r w:rsidRPr="00B57F35">
        <w:rPr>
          <w:rFonts w:ascii="Times New Roman" w:hAnsi="Times New Roman"/>
          <w:sz w:val="20"/>
          <w:szCs w:val="20"/>
        </w:rPr>
        <w:t xml:space="preserve"> </w:t>
      </w:r>
      <w:r w:rsidRPr="00B57F35">
        <w:rPr>
          <w:rFonts w:ascii="Times New Roman" w:hAnsi="Times New Roman"/>
          <w:b/>
          <w:sz w:val="20"/>
          <w:szCs w:val="20"/>
        </w:rPr>
        <w:t>csökkenése</w:t>
      </w:r>
      <w:r w:rsidRPr="00B57F35">
        <w:rPr>
          <w:rFonts w:ascii="Times New Roman" w:hAnsi="Times New Roman"/>
          <w:sz w:val="20"/>
          <w:szCs w:val="20"/>
        </w:rPr>
        <w:t xml:space="preserve"> </w:t>
      </w:r>
      <w:r w:rsidRPr="00B57F35">
        <w:rPr>
          <w:rFonts w:ascii="Times New Roman" w:hAnsi="Times New Roman"/>
          <w:b/>
          <w:sz w:val="20"/>
          <w:szCs w:val="20"/>
        </w:rPr>
        <w:t>451.380 eFt</w:t>
      </w:r>
      <w:r w:rsidRPr="00B57F35">
        <w:rPr>
          <w:rFonts w:ascii="Times New Roman" w:hAnsi="Times New Roman"/>
          <w:sz w:val="20"/>
          <w:szCs w:val="20"/>
        </w:rPr>
        <w:t xml:space="preserve">. Ha a 2009. évi adatokhoz viszonyítunk, akkor </w:t>
      </w:r>
      <w:r w:rsidRPr="00B57F35">
        <w:rPr>
          <w:rFonts w:ascii="Times New Roman" w:hAnsi="Times New Roman"/>
          <w:b/>
          <w:sz w:val="20"/>
          <w:szCs w:val="20"/>
        </w:rPr>
        <w:t>285.580 millió Ft-tal kevesebb</w:t>
      </w:r>
      <w:r w:rsidRPr="00B57F35">
        <w:rPr>
          <w:rFonts w:ascii="Times New Roman" w:hAnsi="Times New Roman"/>
          <w:sz w:val="20"/>
          <w:szCs w:val="20"/>
        </w:rPr>
        <w:t xml:space="preserve"> összegből kell gazdálkodnia Hivatalunknak.</w:t>
      </w:r>
    </w:p>
    <w:p w:rsidR="00AC5E54" w:rsidRPr="00B57F35" w:rsidRDefault="00AC5E54" w:rsidP="00B57F35">
      <w:pPr>
        <w:ind w:firstLine="708"/>
        <w:jc w:val="both"/>
        <w:rPr>
          <w:rFonts w:ascii="Times New Roman" w:hAnsi="Times New Roman"/>
          <w:sz w:val="20"/>
          <w:szCs w:val="20"/>
        </w:rPr>
      </w:pPr>
    </w:p>
    <w:p w:rsidR="00AC5E54" w:rsidRPr="00B57F35" w:rsidRDefault="00AC5E54" w:rsidP="00B57F35">
      <w:pPr>
        <w:pStyle w:val="Title"/>
        <w:numPr>
          <w:ilvl w:val="1"/>
          <w:numId w:val="9"/>
        </w:numPr>
        <w:spacing w:before="200"/>
        <w:ind w:left="714" w:hanging="357"/>
        <w:jc w:val="both"/>
        <w:rPr>
          <w:rFonts w:ascii="Times New Roman" w:hAnsi="Times New Roman" w:cs="Times New Roman"/>
          <w:sz w:val="20"/>
          <w:szCs w:val="20"/>
        </w:rPr>
      </w:pPr>
      <w:r w:rsidRPr="00B57F35">
        <w:rPr>
          <w:rFonts w:ascii="Times New Roman" w:hAnsi="Times New Roman" w:cs="Times New Roman"/>
          <w:sz w:val="20"/>
          <w:szCs w:val="20"/>
        </w:rPr>
        <w:t xml:space="preserve"> Saját bevétel</w:t>
      </w:r>
    </w:p>
    <w:p w:rsidR="00AC5E54" w:rsidRPr="00B57F35" w:rsidRDefault="00AC5E54" w:rsidP="00B57F35">
      <w:pPr>
        <w:spacing w:before="120"/>
        <w:ind w:firstLine="709"/>
        <w:jc w:val="both"/>
        <w:rPr>
          <w:rFonts w:ascii="Times New Roman" w:hAnsi="Times New Roman"/>
          <w:b/>
          <w:sz w:val="20"/>
          <w:szCs w:val="20"/>
        </w:rPr>
      </w:pPr>
      <w:r w:rsidRPr="00B57F35">
        <w:rPr>
          <w:rFonts w:ascii="Times New Roman" w:hAnsi="Times New Roman"/>
          <w:sz w:val="20"/>
          <w:szCs w:val="20"/>
        </w:rPr>
        <w:t xml:space="preserve">A </w:t>
      </w:r>
      <w:r w:rsidRPr="00B57F35">
        <w:rPr>
          <w:rFonts w:ascii="Times New Roman" w:hAnsi="Times New Roman"/>
          <w:b/>
          <w:bCs/>
          <w:sz w:val="20"/>
          <w:szCs w:val="20"/>
        </w:rPr>
        <w:t xml:space="preserve">saját bevételeknél </w:t>
      </w:r>
      <w:r w:rsidRPr="00B57F35">
        <w:rPr>
          <w:rFonts w:ascii="Times New Roman" w:hAnsi="Times New Roman"/>
          <w:sz w:val="20"/>
          <w:szCs w:val="20"/>
        </w:rPr>
        <w:t xml:space="preserve">a 2010. évi központi előírás </w:t>
      </w:r>
      <w:r w:rsidRPr="00B57F35">
        <w:rPr>
          <w:rFonts w:ascii="Times New Roman" w:hAnsi="Times New Roman"/>
          <w:b/>
          <w:sz w:val="20"/>
          <w:szCs w:val="20"/>
        </w:rPr>
        <w:t xml:space="preserve">220.000 eFt, itt nem várható bevétel kiesés, mivel a bírságok behajtásából – </w:t>
      </w:r>
      <w:r w:rsidRPr="00B57F35">
        <w:rPr>
          <w:rFonts w:ascii="Times New Roman" w:hAnsi="Times New Roman"/>
          <w:sz w:val="20"/>
          <w:szCs w:val="20"/>
        </w:rPr>
        <w:t xml:space="preserve">amelyet </w:t>
      </w:r>
      <w:r w:rsidRPr="00B57F35">
        <w:rPr>
          <w:rFonts w:ascii="Times New Roman" w:hAnsi="Times New Roman"/>
          <w:b/>
          <w:sz w:val="20"/>
          <w:szCs w:val="20"/>
        </w:rPr>
        <w:t>kiemelten kezelünk – várható jelentős bevétel idén is.</w:t>
      </w:r>
      <w:r w:rsidRPr="00B57F35">
        <w:rPr>
          <w:rFonts w:ascii="Times New Roman" w:hAnsi="Times New Roman"/>
          <w:sz w:val="20"/>
          <w:szCs w:val="20"/>
        </w:rPr>
        <w:t xml:space="preserve"> Ebből a szempontból a 2009. évi tényleges teljesítés is rendkívül kedvezően alakult, mivel nagy összegű bírság bevételeket vetettünk ki és sikerült behajtanunk </w:t>
      </w:r>
      <w:r w:rsidRPr="00B57F35">
        <w:rPr>
          <w:rFonts w:ascii="Times New Roman" w:hAnsi="Times New Roman"/>
          <w:b/>
          <w:sz w:val="20"/>
          <w:szCs w:val="20"/>
        </w:rPr>
        <w:t>76.625,-eFt-ot.</w:t>
      </w:r>
      <w:r w:rsidRPr="00B57F35">
        <w:rPr>
          <w:rFonts w:ascii="Times New Roman" w:hAnsi="Times New Roman"/>
          <w:sz w:val="20"/>
          <w:szCs w:val="20"/>
        </w:rPr>
        <w:t xml:space="preserve"> Azonban 2010. évben nem várható ilyen nagyságrendű bírság bevétel. A 2009. évi tényleges bevételek összetétele: Intézményi működési bevétel átvett pénzeszközökkel: 185.221 eFt; Felhalmozási bevétel: 5.231 eFt; Támogatásértékű bevétel:54.668 eFt, Összesen: </w:t>
      </w:r>
      <w:r w:rsidRPr="00B57F35">
        <w:rPr>
          <w:rFonts w:ascii="Times New Roman" w:hAnsi="Times New Roman"/>
          <w:i/>
          <w:sz w:val="20"/>
          <w:szCs w:val="20"/>
          <w:u w:val="single"/>
        </w:rPr>
        <w:t>245.120 eFt</w:t>
      </w:r>
      <w:r w:rsidRPr="00B57F35">
        <w:rPr>
          <w:rFonts w:ascii="Times New Roman" w:hAnsi="Times New Roman"/>
          <w:sz w:val="20"/>
          <w:szCs w:val="20"/>
        </w:rPr>
        <w:t xml:space="preserve">. </w:t>
      </w:r>
    </w:p>
    <w:p w:rsidR="00AC5E54" w:rsidRPr="00B57F35" w:rsidRDefault="00AC5E54" w:rsidP="00B57F35">
      <w:pPr>
        <w:ind w:firstLine="708"/>
        <w:jc w:val="both"/>
        <w:rPr>
          <w:rFonts w:ascii="Times New Roman" w:hAnsi="Times New Roman"/>
          <w:sz w:val="20"/>
          <w:szCs w:val="20"/>
        </w:rPr>
      </w:pPr>
      <w:r w:rsidRPr="00B57F35">
        <w:rPr>
          <w:rFonts w:ascii="Times New Roman" w:hAnsi="Times New Roman"/>
          <w:sz w:val="20"/>
          <w:szCs w:val="20"/>
        </w:rPr>
        <w:t>Sajnos már most előre látható, hogy az idei évben a bírságok behajtása elhúzódik  illetve néhánynak közülük eredménytelen lesz a behajtása, mivel nőtt a peres útra terelt ügyek, valamint a behajtható vagyonnal nem rendelkező ügyfelek száma. Az alábbi táblázatból – amely 2004. évtől egészen 2009. évig a tényleges teljesítést és a 2010. évi eredeti előirányzatot tartalmazza - is látszik, hogy a saját bevételek beszedésére tett intézkedéseink eredményeként 2006. évtől 2009. évig lineárisan növekedtek a bevételek.</w:t>
      </w:r>
    </w:p>
    <w:p w:rsidR="00AC5E54" w:rsidRPr="00B57F35" w:rsidRDefault="00AC5E54" w:rsidP="00B57F35">
      <w:pPr>
        <w:jc w:val="both"/>
        <w:rPr>
          <w:rFonts w:ascii="Times New Roman" w:hAnsi="Times New Roman"/>
          <w:sz w:val="20"/>
          <w:szCs w:val="20"/>
        </w:rPr>
      </w:pPr>
      <w:r w:rsidRPr="00B43266">
        <w:rPr>
          <w:rFonts w:ascii="Times New Roman" w:hAnsi="Times New Roman"/>
          <w:noProof/>
          <w:sz w:val="20"/>
          <w:szCs w:val="20"/>
          <w:lang w:eastAsia="hu-HU"/>
        </w:rPr>
        <w:pict>
          <v:shape id="Kép 2" o:spid="_x0000_i1026" type="#_x0000_t75" style="width:458.25pt;height:197.25pt;visibility:visible">
            <v:imagedata r:id="rId6" o:title=""/>
          </v:shape>
        </w:pict>
      </w:r>
    </w:p>
    <w:p w:rsidR="00AC5E54" w:rsidRPr="00B57F35" w:rsidRDefault="00AC5E54" w:rsidP="00B57F35">
      <w:pPr>
        <w:pStyle w:val="Title"/>
        <w:numPr>
          <w:ilvl w:val="0"/>
          <w:numId w:val="8"/>
        </w:numPr>
        <w:jc w:val="both"/>
        <w:rPr>
          <w:rFonts w:ascii="Times New Roman" w:hAnsi="Times New Roman" w:cs="Times New Roman"/>
          <w:caps/>
          <w:sz w:val="20"/>
          <w:szCs w:val="20"/>
        </w:rPr>
      </w:pPr>
      <w:r w:rsidRPr="00B57F35">
        <w:rPr>
          <w:rFonts w:ascii="Times New Roman" w:hAnsi="Times New Roman" w:cs="Times New Roman"/>
          <w:caps/>
          <w:sz w:val="20"/>
          <w:szCs w:val="20"/>
        </w:rPr>
        <w:t>Kiadások</w:t>
      </w:r>
    </w:p>
    <w:p w:rsidR="00AC5E54" w:rsidRPr="00B57F35" w:rsidRDefault="00AC5E54" w:rsidP="00B57F35">
      <w:pPr>
        <w:pStyle w:val="Title"/>
        <w:spacing w:before="200"/>
        <w:ind w:firstLine="357"/>
        <w:jc w:val="both"/>
        <w:rPr>
          <w:rFonts w:ascii="Times New Roman" w:hAnsi="Times New Roman" w:cs="Times New Roman"/>
          <w:sz w:val="20"/>
          <w:szCs w:val="20"/>
        </w:rPr>
      </w:pPr>
      <w:r w:rsidRPr="00B57F35">
        <w:rPr>
          <w:rFonts w:ascii="Times New Roman" w:hAnsi="Times New Roman" w:cs="Times New Roman"/>
          <w:sz w:val="20"/>
          <w:szCs w:val="20"/>
        </w:rPr>
        <w:t>2.1   Személyi kiadások</w:t>
      </w:r>
    </w:p>
    <w:p w:rsidR="00AC5E54" w:rsidRPr="00B57F35" w:rsidRDefault="00AC5E54" w:rsidP="00B57F35">
      <w:pPr>
        <w:spacing w:before="120"/>
        <w:ind w:firstLine="709"/>
        <w:jc w:val="both"/>
        <w:rPr>
          <w:rFonts w:ascii="Times New Roman" w:hAnsi="Times New Roman"/>
          <w:b/>
          <w:bCs/>
          <w:sz w:val="20"/>
          <w:szCs w:val="20"/>
        </w:rPr>
      </w:pPr>
      <w:r w:rsidRPr="00B57F35">
        <w:rPr>
          <w:rFonts w:ascii="Times New Roman" w:hAnsi="Times New Roman"/>
          <w:sz w:val="20"/>
          <w:szCs w:val="20"/>
        </w:rPr>
        <w:t xml:space="preserve">A személyi kiadások tekintetében a Hivatal csak a kötelezően kifizetendő tételek, mint havi illetmény, jubileumi jutalom, cafetéria juttatások részbeni, a közlekedési költségtérítés, napidíj valamint a tiszteletdíjak és megbízási díjak tervezésével számol. Ezek a kiadások várhatóan összességében 1.325.000 eFt-ot tesznek ki jutalom nélkül. Jutalom kifizetését nem tudott tervezni a Hivatal. Nincs meg a fedezete a 2010. évi jutalomnak, mert a személyi juttatások előirányzat egy részét át kell csoportosítanunk a dologi kiadásokra. </w:t>
      </w:r>
    </w:p>
    <w:p w:rsidR="00AC5E54" w:rsidRPr="00B57F35" w:rsidRDefault="00AC5E54" w:rsidP="00B57F35">
      <w:pPr>
        <w:ind w:firstLine="708"/>
        <w:jc w:val="both"/>
        <w:rPr>
          <w:rFonts w:ascii="Times New Roman" w:hAnsi="Times New Roman"/>
          <w:bCs/>
          <w:sz w:val="20"/>
          <w:szCs w:val="20"/>
        </w:rPr>
      </w:pPr>
      <w:r w:rsidRPr="00B57F35">
        <w:rPr>
          <w:rFonts w:ascii="Times New Roman" w:hAnsi="Times New Roman"/>
          <w:bCs/>
          <w:sz w:val="20"/>
          <w:szCs w:val="20"/>
        </w:rPr>
        <w:t>Az alábbi ábrából – amely 2004. évtől egészen 2009. évig a tényleges és 2010. évben pedig a várható teljesítést tartalmazza - az látszik, hogy már a 2009. évi Filmiroda nélküli személyi juttatás előirányzatunk (1.323.384,-eFt) a 2006. évi érték alá csökkent (1.331.400,-eFt).</w:t>
      </w:r>
    </w:p>
    <w:p w:rsidR="00AC5E54" w:rsidRPr="00B57F35" w:rsidRDefault="00AC5E54" w:rsidP="00B57F35">
      <w:pPr>
        <w:ind w:firstLine="708"/>
        <w:jc w:val="both"/>
        <w:rPr>
          <w:rFonts w:ascii="Times New Roman" w:hAnsi="Times New Roman"/>
          <w:bCs/>
          <w:sz w:val="20"/>
          <w:szCs w:val="20"/>
        </w:rPr>
      </w:pPr>
    </w:p>
    <w:p w:rsidR="00AC5E54" w:rsidRPr="00B57F35" w:rsidRDefault="00AC5E54" w:rsidP="00B57F35">
      <w:pPr>
        <w:jc w:val="center"/>
        <w:rPr>
          <w:rFonts w:ascii="Times New Roman" w:hAnsi="Times New Roman"/>
          <w:sz w:val="20"/>
          <w:szCs w:val="20"/>
        </w:rPr>
      </w:pPr>
      <w:r w:rsidRPr="00B43266">
        <w:rPr>
          <w:rFonts w:ascii="Times New Roman" w:hAnsi="Times New Roman"/>
          <w:noProof/>
          <w:sz w:val="20"/>
          <w:szCs w:val="20"/>
          <w:lang w:eastAsia="hu-HU"/>
        </w:rPr>
        <w:pict>
          <v:shape id="Kép 3" o:spid="_x0000_i1027" type="#_x0000_t75" style="width:450pt;height:218.25pt;visibility:visible">
            <v:imagedata r:id="rId7" o:title=""/>
          </v:shape>
        </w:pict>
      </w:r>
    </w:p>
    <w:p w:rsidR="00AC5E54" w:rsidRPr="00B57F35" w:rsidRDefault="00AC5E54" w:rsidP="00B57F35">
      <w:pPr>
        <w:ind w:firstLine="708"/>
        <w:jc w:val="both"/>
        <w:rPr>
          <w:rFonts w:ascii="Times New Roman" w:hAnsi="Times New Roman"/>
          <w:sz w:val="20"/>
          <w:szCs w:val="20"/>
        </w:rPr>
      </w:pPr>
      <w:r w:rsidRPr="00B57F35">
        <w:rPr>
          <w:rFonts w:ascii="Times New Roman" w:hAnsi="Times New Roman"/>
          <w:sz w:val="20"/>
          <w:szCs w:val="20"/>
        </w:rPr>
        <w:t>A személyi juttatások és a munkaadót terhelő járulékok előirányzatáról Hivatalunk kénytelen a dologi előirányzatra átcsoportosítani, az ott jelentkező hiány részbeni csökkentésére.</w:t>
      </w:r>
    </w:p>
    <w:p w:rsidR="00AC5E54" w:rsidRDefault="00AC5E54" w:rsidP="00B57F35">
      <w:pPr>
        <w:pStyle w:val="Title"/>
        <w:spacing w:before="200"/>
        <w:ind w:firstLine="357"/>
        <w:jc w:val="both"/>
        <w:rPr>
          <w:rFonts w:ascii="Times New Roman" w:hAnsi="Times New Roman" w:cs="Times New Roman"/>
          <w:sz w:val="20"/>
          <w:szCs w:val="20"/>
        </w:rPr>
      </w:pPr>
    </w:p>
    <w:p w:rsidR="00AC5E54" w:rsidRPr="00B57F35" w:rsidRDefault="00AC5E54" w:rsidP="00B57F35">
      <w:pPr>
        <w:pStyle w:val="Title"/>
        <w:spacing w:before="200"/>
        <w:ind w:firstLine="357"/>
        <w:jc w:val="both"/>
        <w:rPr>
          <w:rFonts w:ascii="Times New Roman" w:hAnsi="Times New Roman" w:cs="Times New Roman"/>
          <w:sz w:val="20"/>
          <w:szCs w:val="20"/>
        </w:rPr>
      </w:pPr>
      <w:r w:rsidRPr="00B57F35">
        <w:rPr>
          <w:rFonts w:ascii="Times New Roman" w:hAnsi="Times New Roman" w:cs="Times New Roman"/>
          <w:sz w:val="20"/>
          <w:szCs w:val="20"/>
        </w:rPr>
        <w:t>2.2  Dologi kiadások</w:t>
      </w:r>
    </w:p>
    <w:p w:rsidR="00AC5E54" w:rsidRPr="00B57F35" w:rsidRDefault="00AC5E54" w:rsidP="00B57F35">
      <w:pPr>
        <w:spacing w:before="120"/>
        <w:ind w:firstLine="709"/>
        <w:jc w:val="both"/>
        <w:rPr>
          <w:rFonts w:ascii="Times New Roman" w:hAnsi="Times New Roman"/>
          <w:bCs/>
          <w:sz w:val="20"/>
          <w:szCs w:val="20"/>
        </w:rPr>
      </w:pPr>
    </w:p>
    <w:p w:rsidR="00AC5E54" w:rsidRPr="00B57F35" w:rsidRDefault="00AC5E54" w:rsidP="00B57F35">
      <w:pPr>
        <w:spacing w:before="120"/>
        <w:ind w:firstLine="709"/>
        <w:jc w:val="both"/>
        <w:rPr>
          <w:rFonts w:ascii="Times New Roman" w:hAnsi="Times New Roman"/>
          <w:bCs/>
          <w:sz w:val="20"/>
          <w:szCs w:val="20"/>
        </w:rPr>
      </w:pPr>
      <w:r w:rsidRPr="00B57F35">
        <w:rPr>
          <w:rFonts w:ascii="Times New Roman" w:hAnsi="Times New Roman"/>
          <w:bCs/>
          <w:sz w:val="20"/>
          <w:szCs w:val="20"/>
        </w:rPr>
        <w:t>Az alábbi ábrából – amely a dologi kiadások eredeti előirányzatát és teljesítési adatait tartalmazzák évenként, 2010. évben pedig a várható teljesítést – az látszik, hogy a Hivatal dologi kiadásainak eredeti előirányzata olyan mértékben lecsökkent, hogy már a többi előirányzatból való átcsoportosítással sem nyújt fedezetet az üzemeltetési költségekre. Abban az esetben, ha a meglévő szerződések újratárgyalásával sikerül 860 mFt-ra lecsökkenteni a várható dologi kiadásokat a 2009. évi közel egymilliárdról, akkor is mintegy 200 mFt hiányzik, mivel az előirányzatok közötti átcsoportosítást végrehajtva az aktuális dologi előirányzat 661 mFt lenne, így nem tudjuk biztosítani, hogy zökkenőmentesen tudjanak a kollegák nap mint nap dolgozni.</w:t>
      </w:r>
    </w:p>
    <w:p w:rsidR="00AC5E54" w:rsidRPr="00B57F35" w:rsidRDefault="00AC5E54" w:rsidP="00B57F35">
      <w:pPr>
        <w:spacing w:before="120"/>
        <w:ind w:firstLine="709"/>
        <w:jc w:val="both"/>
        <w:rPr>
          <w:rFonts w:ascii="Times New Roman" w:hAnsi="Times New Roman"/>
          <w:bCs/>
          <w:sz w:val="20"/>
          <w:szCs w:val="20"/>
        </w:rPr>
      </w:pPr>
    </w:p>
    <w:p w:rsidR="00AC5E54" w:rsidRPr="00B57F35" w:rsidRDefault="00AC5E54" w:rsidP="00B57F35">
      <w:pPr>
        <w:spacing w:before="120"/>
        <w:rPr>
          <w:rFonts w:ascii="Times New Roman" w:hAnsi="Times New Roman"/>
          <w:sz w:val="20"/>
          <w:szCs w:val="20"/>
        </w:rPr>
      </w:pPr>
      <w:r w:rsidRPr="00B43266">
        <w:rPr>
          <w:rFonts w:ascii="Times New Roman" w:hAnsi="Times New Roman"/>
          <w:noProof/>
          <w:sz w:val="20"/>
          <w:szCs w:val="20"/>
          <w:lang w:eastAsia="hu-HU"/>
        </w:rPr>
        <w:pict>
          <v:shape id="Kép 4" o:spid="_x0000_i1028" type="#_x0000_t75" style="width:450pt;height:218.25pt;visibility:visible">
            <v:imagedata r:id="rId8" o:title=""/>
          </v:shape>
        </w:pict>
      </w:r>
    </w:p>
    <w:p w:rsidR="00AC5E54" w:rsidRPr="00B57F35" w:rsidRDefault="00AC5E54" w:rsidP="00B57F35">
      <w:pPr>
        <w:tabs>
          <w:tab w:val="left" w:pos="5760"/>
        </w:tabs>
        <w:ind w:firstLine="708"/>
        <w:jc w:val="both"/>
        <w:rPr>
          <w:rFonts w:ascii="Times New Roman" w:hAnsi="Times New Roman"/>
          <w:b/>
          <w:bCs/>
          <w:sz w:val="20"/>
          <w:szCs w:val="20"/>
        </w:rPr>
      </w:pPr>
      <w:r w:rsidRPr="00B57F35">
        <w:rPr>
          <w:rFonts w:ascii="Times New Roman" w:hAnsi="Times New Roman"/>
          <w:b/>
          <w:bCs/>
          <w:sz w:val="20"/>
          <w:szCs w:val="20"/>
        </w:rPr>
        <w:t>A központi támogatás jelentős csökkentését követően a 2009. évi 689.100 eFt-ról lecsökkent 388.000 eFt-ra az eredeti előirányzat – ami a Hivatal üzemeltetési kiadásaira nem nyújt fedezetet - , mert a várható teljesítés a legésszerűbb takarékoskodás mellett is csak 860.000 eFt-ra mérsékelhető. A 2010. évre tervezett 388.000 eFt összegű dologi kiadási előirányzat már kötelezettségvállalással terhelt.</w:t>
      </w:r>
    </w:p>
    <w:p w:rsidR="00AC5E54" w:rsidRPr="00B57F35" w:rsidRDefault="00AC5E54" w:rsidP="00B57F35">
      <w:pPr>
        <w:jc w:val="center"/>
        <w:rPr>
          <w:rFonts w:ascii="Times New Roman" w:hAnsi="Times New Roman"/>
          <w:b/>
          <w:sz w:val="20"/>
          <w:szCs w:val="20"/>
        </w:rPr>
      </w:pPr>
    </w:p>
    <w:p w:rsidR="00AC5E54" w:rsidRPr="00B57F35" w:rsidRDefault="00AC5E54" w:rsidP="00B57F35">
      <w:pPr>
        <w:jc w:val="center"/>
        <w:rPr>
          <w:rFonts w:ascii="Times New Roman" w:hAnsi="Times New Roman"/>
          <w:b/>
          <w:sz w:val="20"/>
          <w:szCs w:val="20"/>
        </w:rPr>
      </w:pPr>
      <w:r w:rsidRPr="00B57F35">
        <w:rPr>
          <w:rFonts w:ascii="Times New Roman" w:hAnsi="Times New Roman"/>
          <w:b/>
          <w:sz w:val="20"/>
          <w:szCs w:val="20"/>
        </w:rPr>
        <w:t>Intézkedések</w:t>
      </w:r>
    </w:p>
    <w:p w:rsidR="00AC5E54" w:rsidRPr="00B57F35" w:rsidRDefault="00AC5E54" w:rsidP="00B57F35">
      <w:pPr>
        <w:jc w:val="both"/>
        <w:rPr>
          <w:rFonts w:ascii="Times New Roman" w:hAnsi="Times New Roman"/>
          <w:b/>
          <w:sz w:val="20"/>
          <w:szCs w:val="20"/>
        </w:rPr>
      </w:pPr>
    </w:p>
    <w:p w:rsidR="00AC5E54" w:rsidRPr="00B57F35" w:rsidRDefault="00AC5E54" w:rsidP="00B57F35">
      <w:pPr>
        <w:ind w:left="720" w:hanging="540"/>
        <w:jc w:val="both"/>
        <w:rPr>
          <w:rFonts w:ascii="Times New Roman" w:hAnsi="Times New Roman"/>
          <w:b/>
          <w:sz w:val="20"/>
          <w:szCs w:val="20"/>
        </w:rPr>
      </w:pPr>
      <w:r w:rsidRPr="00B57F35">
        <w:rPr>
          <w:rFonts w:ascii="Times New Roman" w:hAnsi="Times New Roman"/>
          <w:b/>
          <w:sz w:val="20"/>
          <w:szCs w:val="20"/>
        </w:rPr>
        <w:t>2.2.1 A költségvetési támogatás csökkentésére a Kulturális Örökségvédelmi Hivatal az alábbi megtakarító és bevételnövelő intézkedéseket tette:</w:t>
      </w:r>
    </w:p>
    <w:p w:rsidR="00AC5E54" w:rsidRPr="00B57F35" w:rsidRDefault="00AC5E54" w:rsidP="00B57F35">
      <w:pPr>
        <w:numPr>
          <w:ilvl w:val="0"/>
          <w:numId w:val="7"/>
        </w:numPr>
        <w:spacing w:after="0" w:line="240" w:lineRule="auto"/>
        <w:jc w:val="both"/>
        <w:rPr>
          <w:rFonts w:ascii="Times New Roman" w:hAnsi="Times New Roman"/>
          <w:i/>
          <w:sz w:val="20"/>
          <w:szCs w:val="20"/>
        </w:rPr>
      </w:pPr>
      <w:r w:rsidRPr="00B57F35">
        <w:rPr>
          <w:rFonts w:ascii="Times New Roman" w:hAnsi="Times New Roman"/>
          <w:i/>
          <w:sz w:val="20"/>
          <w:szCs w:val="20"/>
        </w:rPr>
        <w:t>Az őrzés-védésre vonatkozó szerződés módosítása.</w:t>
      </w:r>
    </w:p>
    <w:p w:rsidR="00AC5E54" w:rsidRPr="00B57F35" w:rsidRDefault="00AC5E54" w:rsidP="00B57F35">
      <w:pPr>
        <w:spacing w:before="120"/>
        <w:ind w:left="357"/>
        <w:jc w:val="both"/>
        <w:rPr>
          <w:rFonts w:ascii="Times New Roman" w:hAnsi="Times New Roman"/>
          <w:sz w:val="20"/>
          <w:szCs w:val="20"/>
        </w:rPr>
      </w:pPr>
      <w:r w:rsidRPr="00B57F35">
        <w:rPr>
          <w:rFonts w:ascii="Times New Roman" w:hAnsi="Times New Roman"/>
          <w:sz w:val="20"/>
          <w:szCs w:val="20"/>
        </w:rPr>
        <w:t xml:space="preserve">Még 2009. évben az akkori szolgáltatóval szerződést módosítottunk a szerződés műszaki tartalmának, azaz az őrök létszámának és az őrzés idejének, valamint az őrzött helyszínek számának a lehető legminimálisabbra csökkentésével. Így a szolgáltatás havi díja 1 492 eFt-ra, a további műszaki tartalom csökkentéssel éltünk 2010. évben, amellyel alapján a havi őrzés-védés kiadás mindösszesen havi </w:t>
      </w:r>
      <w:r w:rsidRPr="00B57F35">
        <w:rPr>
          <w:rFonts w:ascii="Times New Roman" w:hAnsi="Times New Roman"/>
          <w:b/>
          <w:sz w:val="20"/>
          <w:szCs w:val="20"/>
        </w:rPr>
        <w:t>843 eFt-</w:t>
      </w:r>
      <w:r w:rsidRPr="00B57F35">
        <w:rPr>
          <w:rFonts w:ascii="Times New Roman" w:hAnsi="Times New Roman"/>
          <w:sz w:val="20"/>
          <w:szCs w:val="20"/>
        </w:rPr>
        <w:t xml:space="preserve">ra csökkent.   </w:t>
      </w:r>
    </w:p>
    <w:p w:rsidR="00AC5E54" w:rsidRPr="00B57F35" w:rsidRDefault="00AC5E54" w:rsidP="00B57F35">
      <w:pPr>
        <w:numPr>
          <w:ilvl w:val="0"/>
          <w:numId w:val="7"/>
        </w:numPr>
        <w:spacing w:after="0" w:line="240" w:lineRule="auto"/>
        <w:jc w:val="both"/>
        <w:rPr>
          <w:rFonts w:ascii="Times New Roman" w:hAnsi="Times New Roman"/>
          <w:i/>
          <w:sz w:val="20"/>
          <w:szCs w:val="20"/>
        </w:rPr>
      </w:pPr>
      <w:r w:rsidRPr="00B57F35">
        <w:rPr>
          <w:rFonts w:ascii="Times New Roman" w:hAnsi="Times New Roman"/>
          <w:i/>
          <w:sz w:val="20"/>
          <w:szCs w:val="20"/>
        </w:rPr>
        <w:t>Vendégszobák díjkötelezettségének megváltoztatása.</w:t>
      </w:r>
    </w:p>
    <w:p w:rsidR="00AC5E54" w:rsidRPr="00B57F35" w:rsidRDefault="00AC5E54" w:rsidP="00B57F35">
      <w:pPr>
        <w:spacing w:before="120"/>
        <w:ind w:left="357"/>
        <w:jc w:val="both"/>
        <w:rPr>
          <w:rFonts w:ascii="Times New Roman" w:hAnsi="Times New Roman"/>
          <w:sz w:val="20"/>
          <w:szCs w:val="20"/>
        </w:rPr>
      </w:pPr>
      <w:r w:rsidRPr="00B57F35">
        <w:rPr>
          <w:rFonts w:ascii="Times New Roman" w:hAnsi="Times New Roman"/>
          <w:sz w:val="20"/>
          <w:szCs w:val="20"/>
        </w:rPr>
        <w:t>A 2008. évben a KÖH vendégszobákból származó az egész évi bevétel összesen: 4.014.500 Ft volt. A 2009. évet tekintve az igénybevétel díját mintegy 150 %-kal megemeltük. Ennek az intézkedésnek köszönhetően várhatóan, arányosítva 2009. 05.01-től 2009.12.31-ig összesen 6.968.500 Ft bevétellel lehet számolni, ami 2010. évben további bevétel növekedést jelent.</w:t>
      </w:r>
    </w:p>
    <w:p w:rsidR="00AC5E54" w:rsidRPr="00B57F35" w:rsidRDefault="00AC5E54" w:rsidP="00B57F35">
      <w:pPr>
        <w:numPr>
          <w:ilvl w:val="0"/>
          <w:numId w:val="7"/>
        </w:numPr>
        <w:spacing w:after="0" w:line="240" w:lineRule="auto"/>
        <w:jc w:val="both"/>
        <w:rPr>
          <w:rFonts w:ascii="Times New Roman" w:hAnsi="Times New Roman"/>
          <w:i/>
          <w:sz w:val="20"/>
          <w:szCs w:val="20"/>
        </w:rPr>
      </w:pPr>
      <w:r w:rsidRPr="00B57F35">
        <w:rPr>
          <w:rFonts w:ascii="Times New Roman" w:hAnsi="Times New Roman"/>
          <w:i/>
          <w:sz w:val="20"/>
          <w:szCs w:val="20"/>
        </w:rPr>
        <w:t>Telefon költségek csökkentése</w:t>
      </w:r>
    </w:p>
    <w:p w:rsidR="00AC5E54" w:rsidRDefault="00AC5E54" w:rsidP="00B57F35">
      <w:pPr>
        <w:pStyle w:val="Title"/>
        <w:spacing w:before="120"/>
        <w:ind w:left="357"/>
        <w:jc w:val="both"/>
        <w:rPr>
          <w:rFonts w:ascii="Times New Roman" w:hAnsi="Times New Roman" w:cs="Times New Roman"/>
          <w:b w:val="0"/>
          <w:sz w:val="20"/>
          <w:szCs w:val="20"/>
        </w:rPr>
      </w:pPr>
      <w:r w:rsidRPr="00B57F35">
        <w:rPr>
          <w:rFonts w:ascii="Times New Roman" w:hAnsi="Times New Roman" w:cs="Times New Roman"/>
          <w:b w:val="0"/>
          <w:sz w:val="20"/>
          <w:szCs w:val="20"/>
        </w:rPr>
        <w:t>A vezetékes telefon havi előfizetési díjai tovább csökkentek a szerződés újratárgyalásával és a mobil telefon számlák havi összegei is jelentősen csökkentek, a még a 2008. évben a központosított közbeszerzés keretén belül - verseny újraindításával történő további eljárás lefolyatása – eredményeként megkötött szerződéssel, amellyel nagyon kedvezményes percdíjakat tudtunk elérni.</w:t>
      </w:r>
    </w:p>
    <w:p w:rsidR="00AC5E54" w:rsidRDefault="00AC5E54" w:rsidP="00B57F35">
      <w:pPr>
        <w:pStyle w:val="Title"/>
        <w:spacing w:before="120"/>
        <w:ind w:left="357"/>
        <w:jc w:val="both"/>
        <w:rPr>
          <w:rFonts w:ascii="Times New Roman" w:hAnsi="Times New Roman" w:cs="Times New Roman"/>
          <w:b w:val="0"/>
          <w:sz w:val="20"/>
          <w:szCs w:val="20"/>
        </w:rPr>
      </w:pPr>
    </w:p>
    <w:p w:rsidR="00AC5E54" w:rsidRDefault="00AC5E54" w:rsidP="00B57F35">
      <w:pPr>
        <w:pStyle w:val="Title"/>
        <w:spacing w:before="120"/>
        <w:ind w:left="357"/>
        <w:jc w:val="both"/>
        <w:rPr>
          <w:rFonts w:ascii="Times New Roman" w:hAnsi="Times New Roman" w:cs="Times New Roman"/>
          <w:b w:val="0"/>
          <w:sz w:val="20"/>
          <w:szCs w:val="20"/>
        </w:rPr>
      </w:pPr>
    </w:p>
    <w:p w:rsidR="00AC5E54" w:rsidRPr="00B57F35" w:rsidRDefault="00AC5E54" w:rsidP="00B57F35">
      <w:pPr>
        <w:pStyle w:val="Title"/>
        <w:spacing w:before="120"/>
        <w:ind w:left="357"/>
        <w:jc w:val="both"/>
        <w:rPr>
          <w:rFonts w:ascii="Times New Roman" w:hAnsi="Times New Roman" w:cs="Times New Roman"/>
          <w:b w:val="0"/>
          <w:sz w:val="20"/>
          <w:szCs w:val="20"/>
        </w:rPr>
      </w:pPr>
    </w:p>
    <w:p w:rsidR="00AC5E54" w:rsidRPr="00B57F35" w:rsidRDefault="00AC5E54" w:rsidP="00B57F35">
      <w:pPr>
        <w:numPr>
          <w:ilvl w:val="0"/>
          <w:numId w:val="7"/>
        </w:numPr>
        <w:spacing w:after="0" w:line="240" w:lineRule="auto"/>
        <w:jc w:val="both"/>
        <w:rPr>
          <w:rFonts w:ascii="Times New Roman" w:hAnsi="Times New Roman"/>
          <w:i/>
          <w:sz w:val="20"/>
          <w:szCs w:val="20"/>
        </w:rPr>
      </w:pPr>
      <w:r w:rsidRPr="00B57F35">
        <w:rPr>
          <w:rFonts w:ascii="Times New Roman" w:hAnsi="Times New Roman"/>
          <w:i/>
          <w:sz w:val="20"/>
          <w:szCs w:val="20"/>
        </w:rPr>
        <w:t>Hivatali mobiltelefon használatához tartozó keretösszegek csökkentése.</w:t>
      </w:r>
    </w:p>
    <w:p w:rsidR="00AC5E54" w:rsidRPr="00B57F35" w:rsidRDefault="00AC5E54" w:rsidP="00B57F35">
      <w:pPr>
        <w:spacing w:before="120"/>
        <w:ind w:left="357"/>
        <w:jc w:val="both"/>
        <w:rPr>
          <w:rFonts w:ascii="Times New Roman" w:hAnsi="Times New Roman"/>
          <w:sz w:val="20"/>
          <w:szCs w:val="20"/>
        </w:rPr>
      </w:pPr>
      <w:r w:rsidRPr="00B57F35">
        <w:rPr>
          <w:rFonts w:ascii="Times New Roman" w:hAnsi="Times New Roman"/>
          <w:sz w:val="20"/>
          <w:szCs w:val="20"/>
        </w:rPr>
        <w:t xml:space="preserve">A keretmódosítás után a 2009. január és február hónapok továbbszámlázott mobiltelefon használati díjait figyelembe véve, havonta átlagosan 126.704 forinttal nagyobb összeg kerül dolgozói térítésre kiszámlázásra. A dolgozói térítésből elért 2009. évi megtakarítás  2.530 eFt volt. </w:t>
      </w:r>
    </w:p>
    <w:p w:rsidR="00AC5E54" w:rsidRPr="00B57F35" w:rsidRDefault="00AC5E54" w:rsidP="00452932">
      <w:pPr>
        <w:numPr>
          <w:ilvl w:val="0"/>
          <w:numId w:val="7"/>
        </w:numPr>
        <w:spacing w:after="0" w:line="240" w:lineRule="auto"/>
        <w:jc w:val="both"/>
        <w:rPr>
          <w:rFonts w:ascii="Times New Roman" w:hAnsi="Times New Roman"/>
          <w:i/>
          <w:sz w:val="20"/>
          <w:szCs w:val="20"/>
        </w:rPr>
      </w:pPr>
      <w:r w:rsidRPr="00B57F35">
        <w:rPr>
          <w:rFonts w:ascii="Times New Roman" w:hAnsi="Times New Roman"/>
          <w:i/>
          <w:sz w:val="20"/>
          <w:szCs w:val="20"/>
        </w:rPr>
        <w:t>Mihályi, Dőry kastély átadásának költségcsökkentő hatása.</w:t>
      </w:r>
    </w:p>
    <w:p w:rsidR="00AC5E54" w:rsidRPr="00B57F35" w:rsidRDefault="00AC5E54" w:rsidP="00452932">
      <w:pPr>
        <w:spacing w:before="120" w:line="240" w:lineRule="auto"/>
        <w:ind w:left="357"/>
        <w:jc w:val="both"/>
        <w:rPr>
          <w:rFonts w:ascii="Times New Roman" w:hAnsi="Times New Roman"/>
          <w:sz w:val="20"/>
          <w:szCs w:val="20"/>
        </w:rPr>
      </w:pPr>
      <w:r w:rsidRPr="00B57F35">
        <w:rPr>
          <w:rFonts w:ascii="Times New Roman" w:hAnsi="Times New Roman"/>
          <w:sz w:val="20"/>
          <w:szCs w:val="20"/>
        </w:rPr>
        <w:t xml:space="preserve">Mihályi, Dőry kastély 2008. évben felmerült költségeit a közműdíjak, a 2 fő karbantartó foglalkoztatása és a helyszínen felmerülő költségek adták, mely összesen 6.556.863 Ft volt az évben. Költségcsökkentő intézkedéseink keretében felmondtuk a vagyonkezelési szerződét és a két parkőr alkalmazását </w:t>
      </w:r>
    </w:p>
    <w:p w:rsidR="00AC5E54" w:rsidRDefault="00AC5E54" w:rsidP="00452932">
      <w:pPr>
        <w:numPr>
          <w:ilvl w:val="0"/>
          <w:numId w:val="7"/>
        </w:numPr>
        <w:spacing w:after="0" w:line="240" w:lineRule="auto"/>
        <w:jc w:val="both"/>
        <w:rPr>
          <w:rFonts w:ascii="Times New Roman" w:hAnsi="Times New Roman"/>
          <w:i/>
          <w:sz w:val="20"/>
          <w:szCs w:val="20"/>
        </w:rPr>
      </w:pPr>
      <w:r w:rsidRPr="00B57F35">
        <w:rPr>
          <w:rFonts w:ascii="Times New Roman" w:hAnsi="Times New Roman"/>
          <w:i/>
          <w:sz w:val="20"/>
          <w:szCs w:val="20"/>
        </w:rPr>
        <w:t>A pályázati források felhasználása.</w:t>
      </w:r>
    </w:p>
    <w:p w:rsidR="00AC5E54" w:rsidRPr="00B57F35" w:rsidRDefault="00AC5E54" w:rsidP="00452932">
      <w:pPr>
        <w:spacing w:after="0" w:line="240" w:lineRule="auto"/>
        <w:ind w:left="1080"/>
        <w:jc w:val="both"/>
        <w:rPr>
          <w:rFonts w:ascii="Times New Roman" w:hAnsi="Times New Roman"/>
          <w:i/>
          <w:sz w:val="20"/>
          <w:szCs w:val="20"/>
        </w:rPr>
      </w:pPr>
    </w:p>
    <w:p w:rsidR="00AC5E54" w:rsidRPr="00B57F35" w:rsidRDefault="00AC5E54" w:rsidP="00452932">
      <w:pPr>
        <w:spacing w:line="240" w:lineRule="auto"/>
        <w:ind w:left="360"/>
        <w:jc w:val="both"/>
        <w:rPr>
          <w:rFonts w:ascii="Times New Roman" w:hAnsi="Times New Roman"/>
          <w:sz w:val="20"/>
          <w:szCs w:val="20"/>
        </w:rPr>
      </w:pPr>
      <w:r w:rsidRPr="00B57F35">
        <w:rPr>
          <w:rFonts w:ascii="Times New Roman" w:hAnsi="Times New Roman"/>
          <w:sz w:val="20"/>
          <w:szCs w:val="20"/>
        </w:rPr>
        <w:t xml:space="preserve">A Hivatal eredményesen pályázott négy esetben is, amely pályázatok összekapcsolódva a hivatali feladat ellátással részben azt is eredményezik, hogy a szerver eszközpark megújulhat, ezáltal a beruházási forrást nem terhelik. </w:t>
      </w:r>
    </w:p>
    <w:p w:rsidR="00AC5E54" w:rsidRPr="00B57F35" w:rsidRDefault="00AC5E54" w:rsidP="00B57F35">
      <w:pPr>
        <w:jc w:val="both"/>
        <w:rPr>
          <w:rFonts w:ascii="Times New Roman" w:hAnsi="Times New Roman"/>
          <w:sz w:val="20"/>
          <w:szCs w:val="20"/>
        </w:rPr>
      </w:pPr>
    </w:p>
    <w:p w:rsidR="00AC5E54" w:rsidRPr="00B57F35" w:rsidRDefault="00AC5E54" w:rsidP="00B57F35">
      <w:pPr>
        <w:ind w:left="720" w:hanging="540"/>
        <w:jc w:val="both"/>
        <w:rPr>
          <w:rFonts w:ascii="Times New Roman" w:hAnsi="Times New Roman"/>
          <w:b/>
          <w:bCs/>
          <w:sz w:val="20"/>
          <w:szCs w:val="20"/>
        </w:rPr>
      </w:pPr>
      <w:r w:rsidRPr="00B57F35">
        <w:rPr>
          <w:rFonts w:ascii="Times New Roman" w:hAnsi="Times New Roman"/>
          <w:b/>
          <w:sz w:val="20"/>
          <w:szCs w:val="20"/>
        </w:rPr>
        <w:t xml:space="preserve">2.2.2  A központi támogatás jelentős csökkentésének hirtelenségével szemben nem lehet minden költséget azonnal csökkenteni. Mind a működés mind a szakmai kiadásokat tekintve Hivatalunk rendelkezik, olyan hosszú távú szerződésekkel, melyek a szerződésben vállalt kötelmeket (pl.: határozott idejű szerződések) szem előtt tartva csak jóval később mondhatóak fel vagy módosíthatóak. </w:t>
      </w:r>
      <w:r w:rsidRPr="00B57F35">
        <w:rPr>
          <w:rFonts w:ascii="Times New Roman" w:hAnsi="Times New Roman"/>
          <w:sz w:val="20"/>
          <w:szCs w:val="20"/>
        </w:rPr>
        <w:t xml:space="preserve">A dologi kiadásokon belül egyedi megrendelések, beszerzések elhagyásával kis mértékben élhetünk, de a több évre megkötött üzemeltetési szerződések, (bérleti díjak, takarítás, informatikai karbantartás) és a közüzemi szerződések csökkentése hosszabb folyamat és ezek nélkül </w:t>
      </w:r>
      <w:r w:rsidRPr="00B57F35">
        <w:rPr>
          <w:rFonts w:ascii="Times New Roman" w:hAnsi="Times New Roman"/>
          <w:b/>
          <w:bCs/>
          <w:sz w:val="20"/>
          <w:szCs w:val="20"/>
        </w:rPr>
        <w:t xml:space="preserve">a hivatal működésképtelen. </w:t>
      </w:r>
    </w:p>
    <w:p w:rsidR="00AC5E54" w:rsidRPr="00B57F35" w:rsidRDefault="00AC5E54" w:rsidP="00B57F35">
      <w:pPr>
        <w:ind w:left="708" w:firstLine="12"/>
        <w:jc w:val="both"/>
        <w:rPr>
          <w:rFonts w:ascii="Times New Roman" w:hAnsi="Times New Roman"/>
          <w:sz w:val="20"/>
          <w:szCs w:val="20"/>
        </w:rPr>
      </w:pPr>
      <w:r w:rsidRPr="00B57F35">
        <w:rPr>
          <w:rFonts w:ascii="Times New Roman" w:hAnsi="Times New Roman"/>
          <w:sz w:val="20"/>
          <w:szCs w:val="20"/>
        </w:rPr>
        <w:t xml:space="preserve">Például a hivatali épületek takarítását a csak most április 1-től tudjuk jelentősebben módosítani, mert a közbeszerzési eljárás alapján megkötött szerződés március 31-vel jár le. Ugyan a szolgáltatóval már módosítottuk a szerződést 2009. évben is - a takarítási napok csökkentésével - a továbbiakban pedig újabb csökkentésekkel kell élnünk a heti 2 vagy 3 alkalomra történő műszaki tartalom csökkentésével. </w:t>
      </w:r>
    </w:p>
    <w:p w:rsidR="00AC5E54" w:rsidRPr="00B57F35" w:rsidRDefault="00AC5E54" w:rsidP="00B57F35">
      <w:pPr>
        <w:jc w:val="both"/>
        <w:rPr>
          <w:rFonts w:ascii="Times New Roman" w:hAnsi="Times New Roman"/>
          <w:sz w:val="20"/>
          <w:szCs w:val="20"/>
        </w:rPr>
      </w:pPr>
    </w:p>
    <w:p w:rsidR="00AC5E54" w:rsidRPr="00B57F35" w:rsidRDefault="00AC5E54" w:rsidP="00B57F35">
      <w:pPr>
        <w:ind w:left="720" w:hanging="540"/>
        <w:jc w:val="both"/>
        <w:rPr>
          <w:rFonts w:ascii="Times New Roman" w:hAnsi="Times New Roman"/>
          <w:sz w:val="20"/>
          <w:szCs w:val="20"/>
        </w:rPr>
      </w:pPr>
      <w:r w:rsidRPr="00B57F35">
        <w:rPr>
          <w:rFonts w:ascii="Times New Roman" w:hAnsi="Times New Roman"/>
          <w:b/>
          <w:sz w:val="20"/>
          <w:szCs w:val="20"/>
        </w:rPr>
        <w:t xml:space="preserve">2.2.3 A költségvetési támogatás csökkentésétől függetlenül vannak olyan szerződések, amelyek nem mondhatóak fel, mert a Hivatali feladatok ellátásához nélkülözhetetlenek, valamint ezen szerződések szerződéses összegei nem is csökkenthető.  </w:t>
      </w:r>
    </w:p>
    <w:p w:rsidR="00AC5E54" w:rsidRPr="00B57F35" w:rsidRDefault="00AC5E54" w:rsidP="00B57F35">
      <w:pPr>
        <w:ind w:left="720"/>
        <w:jc w:val="both"/>
        <w:rPr>
          <w:rFonts w:ascii="Times New Roman" w:hAnsi="Times New Roman"/>
          <w:b/>
          <w:sz w:val="20"/>
          <w:szCs w:val="20"/>
        </w:rPr>
      </w:pPr>
    </w:p>
    <w:p w:rsidR="00AC5E54" w:rsidRPr="00B57F35" w:rsidRDefault="00AC5E54" w:rsidP="00B57F35">
      <w:pPr>
        <w:numPr>
          <w:ilvl w:val="0"/>
          <w:numId w:val="10"/>
        </w:numPr>
        <w:spacing w:after="0" w:line="240" w:lineRule="auto"/>
        <w:jc w:val="both"/>
        <w:rPr>
          <w:rFonts w:ascii="Times New Roman" w:hAnsi="Times New Roman"/>
          <w:i/>
          <w:sz w:val="20"/>
          <w:szCs w:val="20"/>
        </w:rPr>
      </w:pPr>
      <w:r w:rsidRPr="00B57F35">
        <w:rPr>
          <w:rFonts w:ascii="Times New Roman" w:hAnsi="Times New Roman"/>
          <w:b/>
          <w:i/>
          <w:sz w:val="20"/>
          <w:szCs w:val="20"/>
        </w:rPr>
        <w:t>Közüzemi szerződések</w:t>
      </w:r>
      <w:r w:rsidRPr="00B57F35">
        <w:rPr>
          <w:rFonts w:ascii="Times New Roman" w:hAnsi="Times New Roman"/>
          <w:i/>
          <w:sz w:val="20"/>
          <w:szCs w:val="20"/>
        </w:rPr>
        <w:t xml:space="preserve"> és költségek</w:t>
      </w:r>
    </w:p>
    <w:p w:rsidR="00AC5E54" w:rsidRPr="00B57F35" w:rsidRDefault="00AC5E54" w:rsidP="00B57F35">
      <w:pPr>
        <w:spacing w:before="120"/>
        <w:ind w:left="357"/>
        <w:jc w:val="both"/>
        <w:rPr>
          <w:rFonts w:ascii="Times New Roman" w:hAnsi="Times New Roman"/>
          <w:sz w:val="20"/>
          <w:szCs w:val="20"/>
        </w:rPr>
      </w:pPr>
      <w:r w:rsidRPr="00B57F35">
        <w:rPr>
          <w:rFonts w:ascii="Times New Roman" w:hAnsi="Times New Roman"/>
          <w:sz w:val="20"/>
          <w:szCs w:val="20"/>
        </w:rPr>
        <w:t>A Hivatalunk számos irodával és telephellyel rendelkezik az ország egész területén, melyek zavartalan működését biztosítani kell. A zavartalan működéshez szükségesek közüzemek, melyek általában monopolhelyzetben vannak bizonyos területeken és ezért nem lehet árversenyt kialakítani. Közüzemek alatt értjük a villany, gáz, távhő-, víz- szennyvíz, stb. szolgáltatókat.</w:t>
      </w:r>
    </w:p>
    <w:p w:rsidR="00AC5E54" w:rsidRPr="00B57F35" w:rsidRDefault="00AC5E54" w:rsidP="00B57F35">
      <w:pPr>
        <w:ind w:left="1080"/>
        <w:jc w:val="both"/>
        <w:rPr>
          <w:rFonts w:ascii="Times New Roman" w:hAnsi="Times New Roman"/>
          <w:sz w:val="20"/>
          <w:szCs w:val="20"/>
        </w:rPr>
      </w:pPr>
    </w:p>
    <w:p w:rsidR="00AC5E54" w:rsidRPr="00B57F35" w:rsidRDefault="00AC5E54" w:rsidP="00B57F35">
      <w:pPr>
        <w:numPr>
          <w:ilvl w:val="0"/>
          <w:numId w:val="10"/>
        </w:numPr>
        <w:spacing w:after="0" w:line="240" w:lineRule="auto"/>
        <w:jc w:val="both"/>
        <w:rPr>
          <w:rFonts w:ascii="Times New Roman" w:hAnsi="Times New Roman"/>
          <w:i/>
          <w:sz w:val="20"/>
          <w:szCs w:val="20"/>
        </w:rPr>
      </w:pPr>
      <w:r w:rsidRPr="00B57F35">
        <w:rPr>
          <w:rFonts w:ascii="Times New Roman" w:hAnsi="Times New Roman"/>
          <w:b/>
          <w:i/>
          <w:sz w:val="20"/>
          <w:szCs w:val="20"/>
        </w:rPr>
        <w:t>Bérelt ingatlanok</w:t>
      </w:r>
      <w:r w:rsidRPr="00B57F35">
        <w:rPr>
          <w:rFonts w:ascii="Times New Roman" w:hAnsi="Times New Roman"/>
          <w:i/>
          <w:sz w:val="20"/>
          <w:szCs w:val="20"/>
        </w:rPr>
        <w:t xml:space="preserve"> és ezek költségei</w:t>
      </w:r>
    </w:p>
    <w:p w:rsidR="00AC5E54" w:rsidRPr="00B57F35" w:rsidRDefault="00AC5E54" w:rsidP="00B57F35">
      <w:pPr>
        <w:spacing w:before="120"/>
        <w:ind w:left="357"/>
        <w:jc w:val="both"/>
        <w:rPr>
          <w:rFonts w:ascii="Times New Roman" w:hAnsi="Times New Roman"/>
          <w:sz w:val="20"/>
          <w:szCs w:val="20"/>
        </w:rPr>
      </w:pPr>
      <w:r w:rsidRPr="00B57F35">
        <w:rPr>
          <w:rFonts w:ascii="Times New Roman" w:hAnsi="Times New Roman"/>
          <w:sz w:val="20"/>
          <w:szCs w:val="20"/>
        </w:rPr>
        <w:t xml:space="preserve">Hivatalunk részére az irodai feladatok ellátására az MNV Zrt nem biztosít megfelelő ingatlanokat, ezért kénytelenek vagyunk bérelni ezeket több megyeszékhelyen és a fővárosban is. Jelenleg a Filmiroda, NKB, és a közvetlen szervezeti egységeink több mint fele (Budapesten, és vidéken: Debrecen, Székesfehérvár, Eger, Veszprém, Salgótarján, Szekszárd) bérelt helyiségekben kénytelen dolgozni. Ezek a bérlemények a Hivatal költségvetéséből évi </w:t>
      </w:r>
      <w:r w:rsidRPr="00B57F35">
        <w:rPr>
          <w:rFonts w:ascii="Times New Roman" w:hAnsi="Times New Roman"/>
          <w:b/>
          <w:sz w:val="20"/>
          <w:szCs w:val="20"/>
        </w:rPr>
        <w:t>140 millió Ft</w:t>
      </w:r>
      <w:r w:rsidRPr="00B57F35">
        <w:rPr>
          <w:rFonts w:ascii="Times New Roman" w:hAnsi="Times New Roman"/>
          <w:sz w:val="20"/>
          <w:szCs w:val="20"/>
        </w:rPr>
        <w:t xml:space="preserve"> kiadást jelentenek. A tavalyi év során a Filmiroda számára bérelt helyiségek bérletét felmondtuk és a várban lényegesen olcsóbban bérelünk számukra helyiségeket, itt az éves megtakarítás közel 12 millió Ft. A legtöbb helyen nem található olcsóbb ingatlan, vagy ha igen az új infrastruktúra kiépítése jelentős terhet róna ránk, ami a folytonos megszorítások miatt nem vállalható. </w:t>
      </w:r>
    </w:p>
    <w:p w:rsidR="00AC5E54" w:rsidRPr="00B57F35" w:rsidRDefault="00AC5E54" w:rsidP="00B57F35">
      <w:pPr>
        <w:ind w:left="360"/>
        <w:jc w:val="both"/>
        <w:rPr>
          <w:rFonts w:ascii="Times New Roman" w:hAnsi="Times New Roman"/>
          <w:b/>
          <w:bCs/>
          <w:sz w:val="20"/>
          <w:szCs w:val="20"/>
        </w:rPr>
      </w:pPr>
      <w:r w:rsidRPr="00B57F35">
        <w:rPr>
          <w:rFonts w:ascii="Times New Roman" w:hAnsi="Times New Roman"/>
          <w:sz w:val="20"/>
          <w:szCs w:val="20"/>
        </w:rPr>
        <w:t xml:space="preserve">  </w:t>
      </w:r>
    </w:p>
    <w:p w:rsidR="00AC5E54" w:rsidRPr="00B57F35" w:rsidRDefault="00AC5E54" w:rsidP="00B57F35">
      <w:pPr>
        <w:ind w:firstLine="360"/>
        <w:jc w:val="both"/>
        <w:rPr>
          <w:rFonts w:ascii="Times New Roman" w:hAnsi="Times New Roman"/>
          <w:b/>
          <w:bCs/>
          <w:sz w:val="20"/>
          <w:szCs w:val="20"/>
        </w:rPr>
      </w:pPr>
      <w:r w:rsidRPr="00B57F35">
        <w:rPr>
          <w:rFonts w:ascii="Times New Roman" w:hAnsi="Times New Roman"/>
          <w:b/>
          <w:sz w:val="20"/>
          <w:szCs w:val="20"/>
        </w:rPr>
        <w:t>2</w:t>
      </w:r>
      <w:r w:rsidRPr="00B57F35">
        <w:rPr>
          <w:rFonts w:ascii="Times New Roman" w:hAnsi="Times New Roman"/>
          <w:b/>
          <w:bCs/>
          <w:sz w:val="20"/>
          <w:szCs w:val="20"/>
        </w:rPr>
        <w:t>.3.  Felújítás</w:t>
      </w:r>
    </w:p>
    <w:p w:rsidR="00AC5E54" w:rsidRPr="00B57F35" w:rsidRDefault="00AC5E54" w:rsidP="00B57F35">
      <w:pPr>
        <w:spacing w:before="120"/>
        <w:ind w:firstLine="709"/>
        <w:jc w:val="both"/>
        <w:rPr>
          <w:rFonts w:ascii="Times New Roman" w:hAnsi="Times New Roman"/>
          <w:sz w:val="20"/>
          <w:szCs w:val="20"/>
        </w:rPr>
      </w:pPr>
      <w:r w:rsidRPr="00B57F35">
        <w:rPr>
          <w:rFonts w:ascii="Times New Roman" w:hAnsi="Times New Roman"/>
          <w:sz w:val="20"/>
          <w:szCs w:val="20"/>
        </w:rPr>
        <w:t xml:space="preserve">Már a 2008. évi előirányzatokból sem tudtunk az intézmény üzemeltetéséhez használt ingatlanainkban komolyabb felújításokat kezdeményezni, pedig akkor még 21.000 eFt előirányzattal rendelkeztünk is. A költségvetésben 2009. és 2010. évre tervezett 0 Ft-tal szemben itt az igény 100.000 eFt. A jelentős ügyfélforgalmat is bonyolító régiós irodáinknak (Szeged, Pécs) </w:t>
      </w:r>
      <w:r w:rsidRPr="00B57F35">
        <w:rPr>
          <w:rFonts w:ascii="Times New Roman" w:hAnsi="Times New Roman"/>
          <w:b/>
          <w:bCs/>
          <w:sz w:val="20"/>
          <w:szCs w:val="20"/>
        </w:rPr>
        <w:t xml:space="preserve">2009-ben sem tudjuk teljesen befejezni a felújítását </w:t>
      </w:r>
      <w:r w:rsidRPr="00B57F35">
        <w:rPr>
          <w:rFonts w:ascii="Times New Roman" w:hAnsi="Times New Roman"/>
          <w:sz w:val="20"/>
          <w:szCs w:val="20"/>
        </w:rPr>
        <w:t>ilyen feltételek mellett.</w:t>
      </w:r>
    </w:p>
    <w:p w:rsidR="00AC5E54" w:rsidRPr="00B57F35" w:rsidRDefault="00AC5E54" w:rsidP="00B57F35">
      <w:pPr>
        <w:ind w:firstLine="708"/>
        <w:jc w:val="both"/>
        <w:rPr>
          <w:rFonts w:ascii="Times New Roman" w:hAnsi="Times New Roman"/>
          <w:bCs/>
          <w:sz w:val="20"/>
          <w:szCs w:val="20"/>
        </w:rPr>
      </w:pPr>
      <w:r w:rsidRPr="00B57F35">
        <w:rPr>
          <w:rFonts w:ascii="Times New Roman" w:hAnsi="Times New Roman"/>
          <w:bCs/>
          <w:sz w:val="20"/>
          <w:szCs w:val="20"/>
        </w:rPr>
        <w:t>A hivatal Táncsics M. utcai épületében kezdeményeztük a távhőszolgáltatásról való leválást, mert a gázüzemű fűtéssel jelentős megtakarításokat érnénk el, de az engedélyt nem kaptuk meg. A fűtéskorszerűsítéssel kapcsolatban tervezzük más fűtési módra való áttérést is, amelyhez pályázat formájában támogatáshoz juthatunk, de ehhez közel 50% önerő is szükséges és a felújítási keretünk jelenleg megszűnt.</w:t>
      </w:r>
    </w:p>
    <w:p w:rsidR="00AC5E54" w:rsidRPr="00B57F35" w:rsidRDefault="00AC5E54" w:rsidP="00B57F35">
      <w:pPr>
        <w:jc w:val="both"/>
        <w:rPr>
          <w:rFonts w:ascii="Times New Roman" w:hAnsi="Times New Roman"/>
          <w:sz w:val="20"/>
          <w:szCs w:val="20"/>
        </w:rPr>
      </w:pPr>
      <w:r w:rsidRPr="00B43266">
        <w:rPr>
          <w:rFonts w:ascii="Times New Roman" w:hAnsi="Times New Roman"/>
          <w:noProof/>
          <w:sz w:val="20"/>
          <w:szCs w:val="20"/>
          <w:lang w:eastAsia="hu-HU"/>
        </w:rPr>
        <w:pict>
          <v:shape id="Kép 5" o:spid="_x0000_i1029" type="#_x0000_t75" style="width:451.5pt;height:251.25pt;visibility:visible">
            <v:imagedata r:id="rId9" o:title=""/>
          </v:shape>
        </w:pict>
      </w:r>
    </w:p>
    <w:p w:rsidR="00AC5E54" w:rsidRDefault="00AC5E54" w:rsidP="00B57F35">
      <w:pPr>
        <w:ind w:firstLine="360"/>
        <w:jc w:val="both"/>
        <w:rPr>
          <w:rFonts w:ascii="Times New Roman" w:hAnsi="Times New Roman"/>
          <w:b/>
          <w:sz w:val="20"/>
          <w:szCs w:val="20"/>
        </w:rPr>
      </w:pPr>
    </w:p>
    <w:p w:rsidR="00AC5E54" w:rsidRPr="00B57F35" w:rsidRDefault="00AC5E54" w:rsidP="00B57F35">
      <w:pPr>
        <w:ind w:firstLine="360"/>
        <w:jc w:val="both"/>
        <w:rPr>
          <w:rFonts w:ascii="Times New Roman" w:hAnsi="Times New Roman"/>
          <w:b/>
          <w:sz w:val="20"/>
          <w:szCs w:val="20"/>
        </w:rPr>
      </w:pPr>
      <w:r w:rsidRPr="00B57F35">
        <w:rPr>
          <w:rFonts w:ascii="Times New Roman" w:hAnsi="Times New Roman"/>
          <w:b/>
          <w:sz w:val="20"/>
          <w:szCs w:val="20"/>
        </w:rPr>
        <w:t>2.4.  Intézményi beruházás</w:t>
      </w:r>
    </w:p>
    <w:p w:rsidR="00AC5E54" w:rsidRPr="00B57F35" w:rsidRDefault="00AC5E54" w:rsidP="00B57F35">
      <w:pPr>
        <w:spacing w:before="120"/>
        <w:ind w:firstLine="720"/>
        <w:jc w:val="both"/>
        <w:rPr>
          <w:rFonts w:ascii="Times New Roman" w:hAnsi="Times New Roman"/>
          <w:sz w:val="20"/>
          <w:szCs w:val="20"/>
        </w:rPr>
      </w:pPr>
      <w:r w:rsidRPr="00B57F35">
        <w:rPr>
          <w:rFonts w:ascii="Times New Roman" w:hAnsi="Times New Roman"/>
          <w:sz w:val="20"/>
          <w:szCs w:val="20"/>
        </w:rPr>
        <w:t>Intézményi beruházási forrásból Hivatalunk csak a legszükségesebb beszerzéseket tervezi, főleg az annyira elavult eszközöket, amelyeket javíthatatlanná válnak. Minimálisan olyan számítógép beszerzéseket, amelyek a pályázati forrásból nem valósítható meg, illetve egy két használt gépkocsi beszerzését a folyamatos működőképesség biztosítása érdekében. Ezen kívül tervezzük az iktatórendszer váltást, ami egyrészt a jogszabályi előírásoknak való megfelelés, másrészt a hivatalon belüli integrált iktatási rendszer megvalósítása miatt fontos és elengedhetetlen lépés. Összességében a 2010. évi eredeti előirányzatnak a nagy része,  átcsoportosításra kerülne a dologi előirányzatra, hogy az üzemeltetési kiadásokban jelentkező hiányt tudjuk részben pótolni.</w:t>
      </w:r>
    </w:p>
    <w:p w:rsidR="00AC5E54" w:rsidRDefault="00AC5E54" w:rsidP="00B57F35">
      <w:pPr>
        <w:jc w:val="both"/>
        <w:rPr>
          <w:rFonts w:ascii="Times New Roman" w:hAnsi="Times New Roman"/>
          <w:b/>
          <w:sz w:val="20"/>
          <w:szCs w:val="20"/>
        </w:rPr>
      </w:pPr>
    </w:p>
    <w:p w:rsidR="00AC5E54" w:rsidRDefault="00AC5E54" w:rsidP="00B57F35">
      <w:pPr>
        <w:jc w:val="both"/>
        <w:rPr>
          <w:rFonts w:ascii="Times New Roman" w:hAnsi="Times New Roman"/>
          <w:b/>
          <w:sz w:val="20"/>
          <w:szCs w:val="20"/>
        </w:rPr>
      </w:pPr>
    </w:p>
    <w:p w:rsidR="00AC5E54" w:rsidRPr="00B57F35" w:rsidRDefault="00AC5E54" w:rsidP="00B57F35">
      <w:pPr>
        <w:jc w:val="both"/>
        <w:rPr>
          <w:rFonts w:ascii="Times New Roman" w:hAnsi="Times New Roman"/>
          <w:b/>
          <w:caps/>
          <w:sz w:val="20"/>
          <w:szCs w:val="20"/>
        </w:rPr>
      </w:pPr>
      <w:r w:rsidRPr="00B57F35">
        <w:rPr>
          <w:rFonts w:ascii="Times New Roman" w:hAnsi="Times New Roman"/>
          <w:b/>
          <w:sz w:val="20"/>
          <w:szCs w:val="20"/>
        </w:rPr>
        <w:t xml:space="preserve">3.  </w:t>
      </w:r>
      <w:r w:rsidRPr="00B57F35">
        <w:rPr>
          <w:rFonts w:ascii="Times New Roman" w:hAnsi="Times New Roman"/>
          <w:b/>
          <w:caps/>
          <w:sz w:val="20"/>
          <w:szCs w:val="20"/>
        </w:rPr>
        <w:t>Pályázatok</w:t>
      </w:r>
    </w:p>
    <w:p w:rsidR="00AC5E54" w:rsidRPr="00B57F35" w:rsidRDefault="00AC5E54" w:rsidP="00B57F35">
      <w:pPr>
        <w:jc w:val="both"/>
        <w:rPr>
          <w:rFonts w:ascii="Times New Roman" w:hAnsi="Times New Roman"/>
          <w:b/>
          <w:sz w:val="20"/>
          <w:szCs w:val="20"/>
        </w:rPr>
      </w:pPr>
    </w:p>
    <w:p w:rsidR="00AC5E54" w:rsidRPr="00B57F35" w:rsidRDefault="00AC5E54" w:rsidP="00D749F1">
      <w:pPr>
        <w:ind w:firstLine="709"/>
        <w:jc w:val="both"/>
        <w:rPr>
          <w:rFonts w:ascii="Times New Roman" w:hAnsi="Times New Roman"/>
          <w:sz w:val="20"/>
          <w:szCs w:val="20"/>
        </w:rPr>
      </w:pPr>
      <w:r w:rsidRPr="00B57F35">
        <w:rPr>
          <w:rFonts w:ascii="Times New Roman" w:hAnsi="Times New Roman"/>
          <w:sz w:val="20"/>
          <w:szCs w:val="20"/>
        </w:rPr>
        <w:t>Még 2008. és 2009. évben Hivatalunk az alábbi 4 nagy pályázaton indult különböző szakmai projektek érdekében:</w:t>
      </w:r>
    </w:p>
    <w:p w:rsidR="00AC5E54" w:rsidRPr="00B57F35" w:rsidRDefault="00AC5E54" w:rsidP="00452932">
      <w:pPr>
        <w:spacing w:before="80"/>
        <w:ind w:firstLine="709"/>
        <w:jc w:val="both"/>
        <w:rPr>
          <w:rFonts w:ascii="Times New Roman" w:hAnsi="Times New Roman"/>
          <w:sz w:val="20"/>
          <w:szCs w:val="20"/>
        </w:rPr>
      </w:pPr>
      <w:r w:rsidRPr="00B57F35">
        <w:rPr>
          <w:rFonts w:ascii="Times New Roman" w:hAnsi="Times New Roman"/>
          <w:sz w:val="20"/>
          <w:szCs w:val="20"/>
        </w:rPr>
        <w:t>1.   Egyablakos vámügyintézés megvalósítása –(Elektronikus Közigazgatás Operatív Program)</w:t>
      </w:r>
    </w:p>
    <w:p w:rsidR="00AC5E54" w:rsidRPr="00B57F35" w:rsidRDefault="00AC5E54" w:rsidP="00452932">
      <w:pPr>
        <w:spacing w:before="80"/>
        <w:ind w:firstLine="709"/>
        <w:jc w:val="both"/>
        <w:rPr>
          <w:rFonts w:ascii="Times New Roman" w:hAnsi="Times New Roman"/>
          <w:sz w:val="20"/>
          <w:szCs w:val="20"/>
        </w:rPr>
      </w:pPr>
      <w:r w:rsidRPr="00B57F35">
        <w:rPr>
          <w:rFonts w:ascii="Times New Roman" w:hAnsi="Times New Roman"/>
          <w:sz w:val="20"/>
          <w:szCs w:val="20"/>
        </w:rPr>
        <w:t>2.   Danube Limes – Unesco World Heritage – (Területi Együttműködések Program)</w:t>
      </w:r>
    </w:p>
    <w:p w:rsidR="00AC5E54" w:rsidRDefault="00AC5E54" w:rsidP="00452932">
      <w:pPr>
        <w:numPr>
          <w:ilvl w:val="0"/>
          <w:numId w:val="10"/>
        </w:numPr>
        <w:spacing w:after="0" w:line="240" w:lineRule="auto"/>
        <w:ind w:left="993" w:hanging="284"/>
        <w:jc w:val="both"/>
        <w:rPr>
          <w:rFonts w:ascii="Times New Roman" w:hAnsi="Times New Roman"/>
          <w:sz w:val="20"/>
          <w:szCs w:val="20"/>
        </w:rPr>
      </w:pPr>
      <w:r w:rsidRPr="00452932">
        <w:rPr>
          <w:rFonts w:ascii="Times New Roman" w:hAnsi="Times New Roman"/>
          <w:sz w:val="20"/>
          <w:szCs w:val="20"/>
        </w:rPr>
        <w:t>Táj értékek kataszterezése Európai Tájegyezmény hazai bevezetése –(Norvég finanszírozás)</w:t>
      </w:r>
    </w:p>
    <w:p w:rsidR="00AC5E54" w:rsidRPr="00452932" w:rsidRDefault="00AC5E54" w:rsidP="00452932">
      <w:pPr>
        <w:spacing w:after="0" w:line="240" w:lineRule="auto"/>
        <w:ind w:left="993"/>
        <w:jc w:val="both"/>
        <w:rPr>
          <w:rFonts w:ascii="Times New Roman" w:hAnsi="Times New Roman"/>
          <w:sz w:val="20"/>
          <w:szCs w:val="20"/>
        </w:rPr>
      </w:pPr>
    </w:p>
    <w:p w:rsidR="00AC5E54" w:rsidRPr="00452932" w:rsidRDefault="00AC5E54" w:rsidP="00452932">
      <w:pPr>
        <w:numPr>
          <w:ilvl w:val="0"/>
          <w:numId w:val="10"/>
        </w:numPr>
        <w:spacing w:after="0" w:line="240" w:lineRule="auto"/>
        <w:ind w:left="993" w:hanging="284"/>
        <w:jc w:val="both"/>
        <w:rPr>
          <w:rFonts w:ascii="Times New Roman" w:hAnsi="Times New Roman"/>
          <w:sz w:val="20"/>
          <w:szCs w:val="20"/>
        </w:rPr>
      </w:pPr>
      <w:r w:rsidRPr="00452932">
        <w:rPr>
          <w:rFonts w:ascii="Times New Roman" w:hAnsi="Times New Roman"/>
          <w:sz w:val="20"/>
          <w:szCs w:val="20"/>
        </w:rPr>
        <w:t>Közszolgáltatás elektronizálása, informatikai rendszer fejlesztése –(Elektronikus Közigazgatás Opereatív Program)</w:t>
      </w:r>
    </w:p>
    <w:p w:rsidR="00AC5E54" w:rsidRPr="00B57F35" w:rsidRDefault="00AC5E54" w:rsidP="00B57F35">
      <w:pPr>
        <w:jc w:val="both"/>
        <w:rPr>
          <w:rFonts w:ascii="Times New Roman" w:hAnsi="Times New Roman"/>
          <w:sz w:val="20"/>
          <w:szCs w:val="20"/>
        </w:rPr>
      </w:pPr>
    </w:p>
    <w:p w:rsidR="00AC5E54" w:rsidRPr="00B57F35" w:rsidRDefault="00AC5E54" w:rsidP="00B57F35">
      <w:pPr>
        <w:jc w:val="both"/>
        <w:rPr>
          <w:rFonts w:ascii="Times New Roman" w:hAnsi="Times New Roman"/>
          <w:sz w:val="20"/>
          <w:szCs w:val="20"/>
        </w:rPr>
      </w:pPr>
      <w:r w:rsidRPr="00B57F35">
        <w:rPr>
          <w:rFonts w:ascii="Times New Roman" w:hAnsi="Times New Roman"/>
          <w:sz w:val="20"/>
          <w:szCs w:val="20"/>
        </w:rPr>
        <w:t xml:space="preserve">Ezek a pályázatok tavaly még nemcsak jelentős önerőt kívántak meg tőlünk, hanem azt is, hogy előfinanszírozást vállaljunk. Összességében a projektek 564.063.356.-Ft többlet finanszírozási lehetőséget jelentenének a Hivatal szakmai munkájának fejlesztésére a 2009-2011-ig tartó időszakban. A részvételhez összességében 58.554.975.-Ft előfinanszírozást kellett megoldanunk. Időközben kedvezően alakul, hogy a Danube Limes program finanszírozása átalakul és nem kell előfinanszíroznunk. Ezt a Hivatal jelenlegi likviditási helyzete egyébként sem tenné lehetővé, mivel a finanszírozási rendszer átalakult a teljesítmény arányosra a felhalmozási kiadások esetében.  </w:t>
      </w:r>
    </w:p>
    <w:p w:rsidR="00AC5E54" w:rsidRPr="00B57F35" w:rsidRDefault="00AC5E54" w:rsidP="00B57F35">
      <w:pPr>
        <w:jc w:val="both"/>
        <w:rPr>
          <w:rFonts w:ascii="Times New Roman" w:hAnsi="Times New Roman"/>
          <w:b/>
          <w:caps/>
          <w:sz w:val="20"/>
          <w:szCs w:val="20"/>
        </w:rPr>
      </w:pPr>
    </w:p>
    <w:p w:rsidR="00AC5E54" w:rsidRPr="00B57F35" w:rsidRDefault="00AC5E54" w:rsidP="00B57F35">
      <w:pPr>
        <w:jc w:val="both"/>
        <w:rPr>
          <w:rFonts w:ascii="Times New Roman" w:hAnsi="Times New Roman"/>
          <w:b/>
          <w:caps/>
          <w:sz w:val="20"/>
          <w:szCs w:val="20"/>
        </w:rPr>
      </w:pPr>
      <w:r w:rsidRPr="00B57F35">
        <w:rPr>
          <w:rFonts w:ascii="Times New Roman" w:hAnsi="Times New Roman"/>
          <w:b/>
          <w:caps/>
          <w:sz w:val="20"/>
          <w:szCs w:val="20"/>
        </w:rPr>
        <w:t>4.  Összegzés</w:t>
      </w:r>
    </w:p>
    <w:p w:rsidR="00AC5E54" w:rsidRPr="00B57F35" w:rsidRDefault="00AC5E54" w:rsidP="00B57F35">
      <w:pPr>
        <w:jc w:val="both"/>
        <w:rPr>
          <w:rFonts w:ascii="Times New Roman" w:hAnsi="Times New Roman"/>
          <w:b/>
          <w:caps/>
          <w:sz w:val="20"/>
          <w:szCs w:val="20"/>
        </w:rPr>
      </w:pPr>
    </w:p>
    <w:p w:rsidR="00AC5E54" w:rsidRPr="00B57F35" w:rsidRDefault="00AC5E54" w:rsidP="00B57F35">
      <w:pPr>
        <w:ind w:firstLine="708"/>
        <w:jc w:val="both"/>
        <w:rPr>
          <w:rFonts w:ascii="Times New Roman" w:hAnsi="Times New Roman"/>
          <w:sz w:val="20"/>
          <w:szCs w:val="20"/>
        </w:rPr>
      </w:pPr>
      <w:r w:rsidRPr="00B57F35">
        <w:rPr>
          <w:rFonts w:ascii="Times New Roman" w:hAnsi="Times New Roman"/>
          <w:sz w:val="20"/>
          <w:szCs w:val="20"/>
        </w:rPr>
        <w:t xml:space="preserve">Hivatalunk gazdálkodási egyensúlyát és a likviditásának megtartását, a költségvetési támogatás jelentős elvonása miatt jelentkező </w:t>
      </w:r>
      <w:r w:rsidRPr="00B57F35">
        <w:rPr>
          <w:rFonts w:ascii="Times New Roman" w:hAnsi="Times New Roman"/>
          <w:b/>
          <w:sz w:val="20"/>
          <w:szCs w:val="20"/>
        </w:rPr>
        <w:t>hiány</w:t>
      </w:r>
      <w:r w:rsidRPr="00B57F35">
        <w:rPr>
          <w:rFonts w:ascii="Times New Roman" w:hAnsi="Times New Roman"/>
          <w:sz w:val="20"/>
          <w:szCs w:val="20"/>
        </w:rPr>
        <w:t>t a megtakarításokon és bevételnövelő intézkedéseken túl a költségvetési keretek közötti átcsoportosítással próbáljuk megoldani. Előre prognosztizálható, hogy ez már olyan méreteket ölt, hogy ha minimális kifizetéseket tervezünk mind személyi, mind dologi, mind beruházási területen, akkor sem tudjuk megvalósítani. A teljesítmény arányos jutalmazás fedezetére 171.450 eFt szükséges.</w:t>
      </w:r>
    </w:p>
    <w:p w:rsidR="00AC5E54" w:rsidRPr="00B57F35" w:rsidRDefault="00AC5E54" w:rsidP="00B57F35">
      <w:pPr>
        <w:ind w:firstLine="708"/>
        <w:jc w:val="both"/>
        <w:rPr>
          <w:rFonts w:ascii="Times New Roman" w:hAnsi="Times New Roman"/>
          <w:sz w:val="20"/>
          <w:szCs w:val="20"/>
        </w:rPr>
      </w:pPr>
      <w:r w:rsidRPr="00B57F35">
        <w:rPr>
          <w:rFonts w:ascii="Times New Roman" w:hAnsi="Times New Roman"/>
          <w:sz w:val="20"/>
          <w:szCs w:val="20"/>
        </w:rPr>
        <w:t xml:space="preserve">Ugyanakkor a pályázati lehetőségeink, melyek kiemelt örökségvédelmi célokat támogatnak, de kis mértékben még mindig előfinanszírozást igényelnek tőlünk (pl. a saját erő felhasználása), tovább rontják likviditásunkat. </w:t>
      </w:r>
    </w:p>
    <w:p w:rsidR="00AC5E54" w:rsidRPr="00B57F35" w:rsidRDefault="00AC5E54" w:rsidP="00B57F35">
      <w:pPr>
        <w:jc w:val="both"/>
        <w:rPr>
          <w:rFonts w:ascii="Times New Roman" w:hAnsi="Times New Roman"/>
          <w:sz w:val="20"/>
          <w:szCs w:val="20"/>
        </w:rPr>
      </w:pPr>
      <w:r w:rsidRPr="00B57F35">
        <w:rPr>
          <w:rFonts w:ascii="Times New Roman" w:hAnsi="Times New Roman"/>
          <w:sz w:val="20"/>
          <w:szCs w:val="20"/>
        </w:rPr>
        <w:t>Fentiek szerint a Hivatalunknak a 2010. évi folyamatos működtetéséhez a legnagyobb költségtakarékosság mellett is közel 200.000,- eFt költségvetési támogatásra van még szüksége.</w:t>
      </w:r>
    </w:p>
    <w:p w:rsidR="00AC5E54" w:rsidRDefault="00AC5E54">
      <w:pPr>
        <w:rPr>
          <w:sz w:val="20"/>
          <w:szCs w:val="20"/>
        </w:rPr>
      </w:pPr>
    </w:p>
    <w:tbl>
      <w:tblPr>
        <w:tblW w:w="12040" w:type="dxa"/>
        <w:tblInd w:w="53" w:type="dxa"/>
        <w:tblCellMar>
          <w:left w:w="70" w:type="dxa"/>
          <w:right w:w="70" w:type="dxa"/>
        </w:tblCellMar>
        <w:tblLook w:val="00A0"/>
      </w:tblPr>
      <w:tblGrid>
        <w:gridCol w:w="620"/>
        <w:gridCol w:w="4840"/>
        <w:gridCol w:w="1960"/>
        <w:gridCol w:w="1620"/>
        <w:gridCol w:w="1540"/>
        <w:gridCol w:w="1460"/>
      </w:tblGrid>
      <w:tr w:rsidR="00AC5E54" w:rsidRPr="00B43266" w:rsidTr="009E7BFF">
        <w:trPr>
          <w:trHeight w:val="255"/>
        </w:trPr>
        <w:tc>
          <w:tcPr>
            <w:tcW w:w="620" w:type="dxa"/>
            <w:tcBorders>
              <w:top w:val="nil"/>
              <w:left w:val="nil"/>
              <w:bottom w:val="nil"/>
              <w:right w:val="nil"/>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2.</w:t>
            </w:r>
          </w:p>
        </w:tc>
        <w:tc>
          <w:tcPr>
            <w:tcW w:w="48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Az intézmény szervezeti felépítése (röviden)</w:t>
            </w:r>
          </w:p>
        </w:tc>
        <w:tc>
          <w:tcPr>
            <w:tcW w:w="19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62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5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4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r w:rsidR="00AC5E54" w:rsidRPr="00B43266" w:rsidTr="009E7BFF">
        <w:trPr>
          <w:trHeight w:val="255"/>
        </w:trPr>
        <w:tc>
          <w:tcPr>
            <w:tcW w:w="620" w:type="dxa"/>
            <w:tcBorders>
              <w:top w:val="nil"/>
              <w:left w:val="nil"/>
              <w:bottom w:val="nil"/>
              <w:right w:val="nil"/>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p>
        </w:tc>
        <w:tc>
          <w:tcPr>
            <w:tcW w:w="8420" w:type="dxa"/>
            <w:gridSpan w:val="3"/>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(centrumok, karok, főosztályok, speciális szervezeti egységségek szerinti tagolódás ismertetése)</w:t>
            </w:r>
          </w:p>
        </w:tc>
        <w:tc>
          <w:tcPr>
            <w:tcW w:w="15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4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bl>
    <w:p w:rsidR="00AC5E54" w:rsidRDefault="00AC5E54" w:rsidP="00452932">
      <w:pPr>
        <w:spacing w:after="0"/>
        <w:jc w:val="both"/>
        <w:rPr>
          <w:rFonts w:ascii="Times New Roman" w:hAnsi="Times New Roman"/>
          <w:sz w:val="20"/>
          <w:szCs w:val="20"/>
        </w:rPr>
      </w:pPr>
    </w:p>
    <w:p w:rsidR="00AC5E54" w:rsidRPr="00452932" w:rsidRDefault="00AC5E54" w:rsidP="00452932">
      <w:pPr>
        <w:spacing w:after="0"/>
        <w:jc w:val="both"/>
        <w:rPr>
          <w:rFonts w:ascii="Times New Roman" w:hAnsi="Times New Roman"/>
          <w:sz w:val="20"/>
          <w:szCs w:val="20"/>
        </w:rPr>
      </w:pPr>
      <w:r w:rsidRPr="00452932">
        <w:rPr>
          <w:rFonts w:ascii="Times New Roman" w:hAnsi="Times New Roman"/>
          <w:sz w:val="20"/>
          <w:szCs w:val="20"/>
        </w:rPr>
        <w:t>A Hivatalt az elnök vezeti. Helyettese az elnökhelyettes, gazdasági ügyekben a gazdasági-műszaki igazgató (aki a Hivatal gazdasági vezetője).</w:t>
      </w:r>
    </w:p>
    <w:p w:rsidR="00AC5E54" w:rsidRPr="00452932" w:rsidRDefault="00AC5E54" w:rsidP="00452932">
      <w:pPr>
        <w:spacing w:after="0"/>
        <w:jc w:val="both"/>
        <w:rPr>
          <w:rFonts w:ascii="Times New Roman" w:hAnsi="Times New Roman"/>
          <w:sz w:val="20"/>
          <w:szCs w:val="20"/>
        </w:rPr>
      </w:pPr>
      <w:r w:rsidRPr="00452932">
        <w:rPr>
          <w:rFonts w:ascii="Times New Roman" w:hAnsi="Times New Roman"/>
          <w:sz w:val="20"/>
          <w:szCs w:val="20"/>
        </w:rPr>
        <w:t>A Hivatal központi szervből és a Kr.-ben meghatározott területi szervekből áll.</w:t>
      </w:r>
    </w:p>
    <w:p w:rsidR="00AC5E54" w:rsidRDefault="00AC5E54" w:rsidP="00452932">
      <w:pPr>
        <w:spacing w:after="0"/>
        <w:jc w:val="both"/>
        <w:rPr>
          <w:rFonts w:ascii="Times New Roman" w:hAnsi="Times New Roman"/>
          <w:sz w:val="20"/>
          <w:szCs w:val="20"/>
        </w:rPr>
      </w:pPr>
    </w:p>
    <w:p w:rsidR="00AC5E54" w:rsidRDefault="00AC5E54" w:rsidP="00452932">
      <w:pPr>
        <w:spacing w:after="0"/>
        <w:jc w:val="both"/>
        <w:rPr>
          <w:rFonts w:ascii="Times New Roman" w:hAnsi="Times New Roman"/>
          <w:sz w:val="20"/>
          <w:szCs w:val="20"/>
        </w:rPr>
      </w:pPr>
    </w:p>
    <w:p w:rsidR="00AC5E54" w:rsidRDefault="00AC5E54" w:rsidP="00452932">
      <w:pPr>
        <w:spacing w:after="0"/>
        <w:jc w:val="both"/>
        <w:rPr>
          <w:rFonts w:ascii="Times New Roman" w:hAnsi="Times New Roman"/>
          <w:sz w:val="20"/>
          <w:szCs w:val="20"/>
        </w:rPr>
      </w:pPr>
    </w:p>
    <w:p w:rsidR="00AC5E54" w:rsidRDefault="00AC5E54" w:rsidP="00452932">
      <w:pPr>
        <w:spacing w:after="0"/>
        <w:jc w:val="both"/>
        <w:rPr>
          <w:rFonts w:ascii="Times New Roman" w:hAnsi="Times New Roman"/>
          <w:sz w:val="20"/>
          <w:szCs w:val="20"/>
        </w:rPr>
      </w:pPr>
    </w:p>
    <w:p w:rsidR="00AC5E54" w:rsidRPr="00452932" w:rsidRDefault="00AC5E54" w:rsidP="00452932">
      <w:pPr>
        <w:spacing w:after="0"/>
        <w:jc w:val="both"/>
        <w:rPr>
          <w:rFonts w:ascii="Times New Roman" w:hAnsi="Times New Roman"/>
          <w:sz w:val="20"/>
          <w:szCs w:val="20"/>
        </w:rPr>
      </w:pPr>
    </w:p>
    <w:p w:rsidR="00AC5E54" w:rsidRPr="00452932" w:rsidRDefault="00AC5E54" w:rsidP="00452932">
      <w:pPr>
        <w:spacing w:after="0"/>
        <w:jc w:val="both"/>
        <w:rPr>
          <w:rFonts w:ascii="Times New Roman" w:hAnsi="Times New Roman"/>
          <w:sz w:val="20"/>
          <w:szCs w:val="20"/>
          <w:u w:val="single"/>
        </w:rPr>
      </w:pPr>
      <w:r w:rsidRPr="00452932">
        <w:rPr>
          <w:rFonts w:ascii="Times New Roman" w:hAnsi="Times New Roman"/>
          <w:sz w:val="20"/>
          <w:szCs w:val="20"/>
          <w:u w:val="single"/>
        </w:rPr>
        <w:t>A Hivatal központi szervének szervezeti egységei</w:t>
      </w:r>
    </w:p>
    <w:p w:rsidR="00AC5E54" w:rsidRPr="00452932" w:rsidRDefault="00AC5E54" w:rsidP="00452932">
      <w:pPr>
        <w:spacing w:after="0"/>
        <w:jc w:val="both"/>
        <w:rPr>
          <w:rFonts w:ascii="Times New Roman" w:hAnsi="Times New Roman"/>
          <w:sz w:val="20"/>
          <w:szCs w:val="20"/>
        </w:rPr>
      </w:pPr>
      <w:r w:rsidRPr="00452932">
        <w:rPr>
          <w:rFonts w:ascii="Times New Roman" w:hAnsi="Times New Roman"/>
          <w:sz w:val="20"/>
          <w:szCs w:val="20"/>
        </w:rPr>
        <w:t>Az elnök közvetlen irányítása alatt áll:</w:t>
      </w:r>
    </w:p>
    <w:p w:rsidR="00AC5E54" w:rsidRPr="00452932" w:rsidRDefault="00AC5E54" w:rsidP="00452932">
      <w:pPr>
        <w:numPr>
          <w:ilvl w:val="0"/>
          <w:numId w:val="11"/>
        </w:numPr>
        <w:spacing w:after="0"/>
        <w:jc w:val="both"/>
        <w:rPr>
          <w:rFonts w:ascii="Times New Roman" w:hAnsi="Times New Roman"/>
          <w:sz w:val="20"/>
          <w:szCs w:val="20"/>
        </w:rPr>
      </w:pPr>
      <w:r w:rsidRPr="00452932">
        <w:rPr>
          <w:rFonts w:ascii="Times New Roman" w:hAnsi="Times New Roman"/>
          <w:sz w:val="20"/>
          <w:szCs w:val="20"/>
        </w:rPr>
        <w:t>Elnöki Titkárság</w:t>
      </w:r>
    </w:p>
    <w:p w:rsidR="00AC5E54" w:rsidRPr="00452932" w:rsidRDefault="00AC5E54" w:rsidP="00452932">
      <w:pPr>
        <w:numPr>
          <w:ilvl w:val="0"/>
          <w:numId w:val="11"/>
        </w:numPr>
        <w:spacing w:after="0"/>
        <w:jc w:val="both"/>
        <w:rPr>
          <w:rFonts w:ascii="Times New Roman" w:hAnsi="Times New Roman"/>
          <w:sz w:val="20"/>
          <w:szCs w:val="20"/>
        </w:rPr>
      </w:pPr>
      <w:r w:rsidRPr="00452932">
        <w:rPr>
          <w:rFonts w:ascii="Times New Roman" w:hAnsi="Times New Roman"/>
          <w:sz w:val="20"/>
          <w:szCs w:val="20"/>
        </w:rPr>
        <w:t>Társadalmi Kapcsolatok Főosztálya</w:t>
      </w:r>
      <w:r w:rsidRPr="00452932">
        <w:rPr>
          <w:rFonts w:ascii="Times New Roman" w:hAnsi="Times New Roman"/>
          <w:sz w:val="20"/>
          <w:szCs w:val="20"/>
        </w:rPr>
        <w:tab/>
      </w:r>
    </w:p>
    <w:p w:rsidR="00AC5E54" w:rsidRPr="00452932" w:rsidRDefault="00AC5E54" w:rsidP="00452932">
      <w:pPr>
        <w:numPr>
          <w:ilvl w:val="0"/>
          <w:numId w:val="11"/>
        </w:numPr>
        <w:spacing w:after="0"/>
        <w:jc w:val="both"/>
        <w:rPr>
          <w:rFonts w:ascii="Times New Roman" w:hAnsi="Times New Roman"/>
          <w:sz w:val="20"/>
          <w:szCs w:val="20"/>
        </w:rPr>
      </w:pPr>
      <w:r w:rsidRPr="00452932">
        <w:rPr>
          <w:rFonts w:ascii="Times New Roman" w:hAnsi="Times New Roman"/>
          <w:sz w:val="20"/>
          <w:szCs w:val="20"/>
        </w:rPr>
        <w:t>Stratégiai Főosztály</w:t>
      </w:r>
    </w:p>
    <w:p w:rsidR="00AC5E54" w:rsidRPr="00452932" w:rsidRDefault="00AC5E54" w:rsidP="00452932">
      <w:pPr>
        <w:numPr>
          <w:ilvl w:val="0"/>
          <w:numId w:val="11"/>
        </w:numPr>
        <w:spacing w:after="0"/>
        <w:jc w:val="both"/>
        <w:rPr>
          <w:rFonts w:ascii="Times New Roman" w:hAnsi="Times New Roman"/>
          <w:sz w:val="20"/>
          <w:szCs w:val="20"/>
        </w:rPr>
      </w:pPr>
      <w:r w:rsidRPr="00452932">
        <w:rPr>
          <w:rFonts w:ascii="Times New Roman" w:hAnsi="Times New Roman"/>
          <w:sz w:val="20"/>
          <w:szCs w:val="20"/>
        </w:rPr>
        <w:t>Gazdasági-Műszaki Igazgatóság</w:t>
      </w:r>
    </w:p>
    <w:p w:rsidR="00AC5E54" w:rsidRPr="00452932" w:rsidRDefault="00AC5E54" w:rsidP="00452932">
      <w:pPr>
        <w:numPr>
          <w:ilvl w:val="0"/>
          <w:numId w:val="11"/>
        </w:numPr>
        <w:spacing w:after="0"/>
        <w:jc w:val="both"/>
        <w:rPr>
          <w:rFonts w:ascii="Times New Roman" w:hAnsi="Times New Roman"/>
          <w:sz w:val="20"/>
          <w:szCs w:val="20"/>
        </w:rPr>
      </w:pPr>
      <w:r w:rsidRPr="00452932">
        <w:rPr>
          <w:rFonts w:ascii="Times New Roman" w:hAnsi="Times New Roman"/>
          <w:sz w:val="20"/>
          <w:szCs w:val="20"/>
        </w:rPr>
        <w:t>Hatósági és Jogi Igazgatóság</w:t>
      </w:r>
    </w:p>
    <w:p w:rsidR="00AC5E54" w:rsidRPr="00452932" w:rsidRDefault="00AC5E54" w:rsidP="00452932">
      <w:pPr>
        <w:numPr>
          <w:ilvl w:val="0"/>
          <w:numId w:val="11"/>
        </w:numPr>
        <w:spacing w:after="0"/>
        <w:jc w:val="both"/>
        <w:rPr>
          <w:rFonts w:ascii="Times New Roman" w:hAnsi="Times New Roman"/>
          <w:sz w:val="20"/>
          <w:szCs w:val="20"/>
        </w:rPr>
      </w:pPr>
      <w:r w:rsidRPr="00452932">
        <w:rPr>
          <w:rFonts w:ascii="Times New Roman" w:hAnsi="Times New Roman"/>
          <w:sz w:val="20"/>
          <w:szCs w:val="20"/>
        </w:rPr>
        <w:t>Humánerőforrás-gazdálkodási Főosztály</w:t>
      </w:r>
    </w:p>
    <w:p w:rsidR="00AC5E54" w:rsidRPr="00452932" w:rsidRDefault="00AC5E54" w:rsidP="00452932">
      <w:pPr>
        <w:numPr>
          <w:ilvl w:val="0"/>
          <w:numId w:val="11"/>
        </w:numPr>
        <w:spacing w:after="0"/>
        <w:jc w:val="both"/>
        <w:rPr>
          <w:rFonts w:ascii="Times New Roman" w:hAnsi="Times New Roman"/>
          <w:sz w:val="20"/>
          <w:szCs w:val="20"/>
        </w:rPr>
      </w:pPr>
      <w:r w:rsidRPr="00452932">
        <w:rPr>
          <w:rFonts w:ascii="Times New Roman" w:hAnsi="Times New Roman"/>
          <w:sz w:val="20"/>
          <w:szCs w:val="20"/>
        </w:rPr>
        <w:t>Film- és Előadó-művészeti Iroda</w:t>
      </w:r>
    </w:p>
    <w:p w:rsidR="00AC5E54" w:rsidRPr="00452932" w:rsidRDefault="00AC5E54" w:rsidP="00452932">
      <w:pPr>
        <w:numPr>
          <w:ilvl w:val="0"/>
          <w:numId w:val="11"/>
        </w:numPr>
        <w:spacing w:after="0"/>
        <w:jc w:val="both"/>
        <w:rPr>
          <w:rFonts w:ascii="Times New Roman" w:hAnsi="Times New Roman"/>
          <w:sz w:val="20"/>
          <w:szCs w:val="20"/>
        </w:rPr>
      </w:pPr>
      <w:r w:rsidRPr="00452932">
        <w:rPr>
          <w:rFonts w:ascii="Times New Roman" w:hAnsi="Times New Roman"/>
          <w:sz w:val="20"/>
          <w:szCs w:val="20"/>
        </w:rPr>
        <w:t>Koordinációs és Felügyeleti Főosztály</w:t>
      </w:r>
    </w:p>
    <w:p w:rsidR="00AC5E54" w:rsidRPr="00452932" w:rsidRDefault="00AC5E54" w:rsidP="00452932">
      <w:pPr>
        <w:spacing w:after="0"/>
        <w:jc w:val="both"/>
        <w:rPr>
          <w:rFonts w:ascii="Times New Roman" w:hAnsi="Times New Roman"/>
          <w:sz w:val="20"/>
          <w:szCs w:val="20"/>
        </w:rPr>
      </w:pPr>
      <w:r w:rsidRPr="00452932">
        <w:rPr>
          <w:rFonts w:ascii="Times New Roman" w:hAnsi="Times New Roman"/>
          <w:sz w:val="20"/>
          <w:szCs w:val="20"/>
        </w:rPr>
        <w:t>Az elnökhelyettes közvetlen irányítása alá tartozó szervezeti egységek:</w:t>
      </w:r>
      <w:r w:rsidRPr="00452932">
        <w:rPr>
          <w:rFonts w:ascii="Times New Roman" w:hAnsi="Times New Roman"/>
          <w:sz w:val="20"/>
          <w:szCs w:val="20"/>
        </w:rPr>
        <w:tab/>
      </w:r>
    </w:p>
    <w:p w:rsidR="00AC5E54" w:rsidRPr="00452932" w:rsidRDefault="00AC5E54" w:rsidP="00452932">
      <w:pPr>
        <w:numPr>
          <w:ilvl w:val="0"/>
          <w:numId w:val="12"/>
        </w:numPr>
        <w:spacing w:after="0"/>
        <w:jc w:val="both"/>
        <w:rPr>
          <w:rFonts w:ascii="Times New Roman" w:hAnsi="Times New Roman"/>
          <w:sz w:val="20"/>
          <w:szCs w:val="20"/>
        </w:rPr>
      </w:pPr>
      <w:r w:rsidRPr="00452932">
        <w:rPr>
          <w:rFonts w:ascii="Times New Roman" w:hAnsi="Times New Roman"/>
          <w:sz w:val="20"/>
          <w:szCs w:val="20"/>
        </w:rPr>
        <w:t>Tudományos és Nemzetközi Titkárság</w:t>
      </w:r>
    </w:p>
    <w:p w:rsidR="00AC5E54" w:rsidRPr="00452932" w:rsidRDefault="00AC5E54" w:rsidP="00452932">
      <w:pPr>
        <w:numPr>
          <w:ilvl w:val="0"/>
          <w:numId w:val="12"/>
        </w:numPr>
        <w:spacing w:after="0"/>
        <w:jc w:val="both"/>
        <w:rPr>
          <w:rFonts w:ascii="Times New Roman" w:hAnsi="Times New Roman"/>
          <w:sz w:val="20"/>
          <w:szCs w:val="20"/>
        </w:rPr>
      </w:pPr>
      <w:r w:rsidRPr="00452932">
        <w:rPr>
          <w:rFonts w:ascii="Times New Roman" w:hAnsi="Times New Roman"/>
          <w:sz w:val="20"/>
          <w:szCs w:val="20"/>
        </w:rPr>
        <w:t>Világörökség Magyar Nemzeti Bizottságának Titkársága</w:t>
      </w:r>
    </w:p>
    <w:p w:rsidR="00AC5E54" w:rsidRPr="00452932" w:rsidRDefault="00AC5E54" w:rsidP="00452932">
      <w:pPr>
        <w:numPr>
          <w:ilvl w:val="0"/>
          <w:numId w:val="12"/>
        </w:numPr>
        <w:spacing w:after="0"/>
        <w:jc w:val="both"/>
        <w:rPr>
          <w:rFonts w:ascii="Times New Roman" w:hAnsi="Times New Roman"/>
          <w:sz w:val="20"/>
          <w:szCs w:val="20"/>
        </w:rPr>
      </w:pPr>
      <w:r w:rsidRPr="00452932">
        <w:rPr>
          <w:rFonts w:ascii="Times New Roman" w:hAnsi="Times New Roman"/>
          <w:sz w:val="20"/>
          <w:szCs w:val="20"/>
        </w:rPr>
        <w:t>Nemzeti Emlékhely és Kegyeleti Bizottság Titkársága</w:t>
      </w:r>
    </w:p>
    <w:p w:rsidR="00AC5E54" w:rsidRPr="00452932" w:rsidRDefault="00AC5E54" w:rsidP="00452932">
      <w:pPr>
        <w:numPr>
          <w:ilvl w:val="0"/>
          <w:numId w:val="12"/>
        </w:numPr>
        <w:spacing w:after="0"/>
        <w:jc w:val="both"/>
        <w:rPr>
          <w:rFonts w:ascii="Times New Roman" w:hAnsi="Times New Roman"/>
          <w:sz w:val="20"/>
          <w:szCs w:val="20"/>
        </w:rPr>
      </w:pPr>
      <w:r w:rsidRPr="00452932">
        <w:rPr>
          <w:rFonts w:ascii="Times New Roman" w:hAnsi="Times New Roman"/>
          <w:sz w:val="20"/>
          <w:szCs w:val="20"/>
        </w:rPr>
        <w:t>Műemléki Kutató és Dokumentációs Központ</w:t>
      </w:r>
    </w:p>
    <w:p w:rsidR="00AC5E54" w:rsidRPr="00452932" w:rsidRDefault="00AC5E54" w:rsidP="00452932">
      <w:pPr>
        <w:numPr>
          <w:ilvl w:val="0"/>
          <w:numId w:val="12"/>
        </w:numPr>
        <w:spacing w:after="0"/>
        <w:jc w:val="both"/>
        <w:rPr>
          <w:rFonts w:ascii="Times New Roman" w:hAnsi="Times New Roman"/>
          <w:sz w:val="20"/>
          <w:szCs w:val="20"/>
        </w:rPr>
      </w:pPr>
      <w:r w:rsidRPr="00452932">
        <w:rPr>
          <w:rFonts w:ascii="Times New Roman" w:hAnsi="Times New Roman"/>
          <w:sz w:val="20"/>
          <w:szCs w:val="20"/>
        </w:rPr>
        <w:t>Magyar Építészeti és Építőipari Múzeum</w:t>
      </w:r>
    </w:p>
    <w:p w:rsidR="00AC5E54" w:rsidRPr="00452932" w:rsidRDefault="00AC5E54" w:rsidP="00452932">
      <w:pPr>
        <w:numPr>
          <w:ilvl w:val="0"/>
          <w:numId w:val="12"/>
        </w:numPr>
        <w:spacing w:after="0"/>
        <w:jc w:val="both"/>
        <w:rPr>
          <w:rFonts w:ascii="Times New Roman" w:hAnsi="Times New Roman"/>
          <w:sz w:val="20"/>
          <w:szCs w:val="20"/>
        </w:rPr>
      </w:pPr>
      <w:r w:rsidRPr="00452932">
        <w:rPr>
          <w:rFonts w:ascii="Times New Roman" w:hAnsi="Times New Roman"/>
          <w:sz w:val="20"/>
          <w:szCs w:val="20"/>
        </w:rPr>
        <w:t>Védési Igazgatóság</w:t>
      </w:r>
    </w:p>
    <w:p w:rsidR="00AC5E54" w:rsidRPr="00452932" w:rsidRDefault="00AC5E54" w:rsidP="00452932">
      <w:pPr>
        <w:spacing w:after="0"/>
        <w:jc w:val="both"/>
        <w:rPr>
          <w:rFonts w:ascii="Times New Roman" w:hAnsi="Times New Roman"/>
          <w:sz w:val="20"/>
          <w:szCs w:val="20"/>
        </w:rPr>
      </w:pPr>
    </w:p>
    <w:p w:rsidR="00AC5E54" w:rsidRPr="00452932" w:rsidRDefault="00AC5E54" w:rsidP="00452932">
      <w:pPr>
        <w:spacing w:after="0"/>
        <w:jc w:val="both"/>
        <w:rPr>
          <w:rFonts w:ascii="Times New Roman" w:hAnsi="Times New Roman"/>
          <w:sz w:val="20"/>
          <w:szCs w:val="20"/>
          <w:u w:val="single"/>
        </w:rPr>
      </w:pPr>
      <w:r w:rsidRPr="00452932">
        <w:rPr>
          <w:rFonts w:ascii="Times New Roman" w:hAnsi="Times New Roman"/>
          <w:sz w:val="20"/>
          <w:szCs w:val="20"/>
          <w:u w:val="single"/>
        </w:rPr>
        <w:t>A Hivatal területi szervei</w:t>
      </w:r>
    </w:p>
    <w:p w:rsidR="00AC5E54" w:rsidRPr="00452932" w:rsidRDefault="00AC5E54" w:rsidP="00452932">
      <w:pPr>
        <w:numPr>
          <w:ilvl w:val="0"/>
          <w:numId w:val="13"/>
        </w:numPr>
        <w:autoSpaceDE w:val="0"/>
        <w:autoSpaceDN w:val="0"/>
        <w:adjustRightInd w:val="0"/>
        <w:spacing w:after="0"/>
        <w:rPr>
          <w:rFonts w:ascii="Times New Roman" w:hAnsi="Times New Roman"/>
          <w:sz w:val="20"/>
          <w:szCs w:val="20"/>
          <w:lang w:eastAsia="hu-HU"/>
        </w:rPr>
      </w:pPr>
      <w:r w:rsidRPr="00452932">
        <w:rPr>
          <w:rFonts w:ascii="Times New Roman" w:hAnsi="Times New Roman"/>
          <w:sz w:val="20"/>
          <w:szCs w:val="20"/>
          <w:lang w:eastAsia="hu-HU"/>
        </w:rPr>
        <w:t>Nyilvántartási Iroda</w:t>
      </w:r>
    </w:p>
    <w:p w:rsidR="00AC5E54" w:rsidRPr="00452932" w:rsidRDefault="00AC5E54" w:rsidP="00452932">
      <w:pPr>
        <w:numPr>
          <w:ilvl w:val="0"/>
          <w:numId w:val="13"/>
        </w:numPr>
        <w:autoSpaceDE w:val="0"/>
        <w:autoSpaceDN w:val="0"/>
        <w:adjustRightInd w:val="0"/>
        <w:spacing w:after="0"/>
        <w:rPr>
          <w:rFonts w:ascii="Times New Roman" w:hAnsi="Times New Roman"/>
          <w:sz w:val="20"/>
          <w:szCs w:val="20"/>
          <w:lang w:eastAsia="hu-HU"/>
        </w:rPr>
      </w:pPr>
      <w:r w:rsidRPr="00452932">
        <w:rPr>
          <w:rFonts w:ascii="Times New Roman" w:hAnsi="Times New Roman"/>
          <w:sz w:val="20"/>
          <w:szCs w:val="20"/>
          <w:lang w:eastAsia="hu-HU"/>
        </w:rPr>
        <w:t>Műtárgyfelügyeleti Iroda</w:t>
      </w:r>
    </w:p>
    <w:p w:rsidR="00AC5E54" w:rsidRPr="00452932" w:rsidRDefault="00AC5E54" w:rsidP="00452932">
      <w:pPr>
        <w:numPr>
          <w:ilvl w:val="0"/>
          <w:numId w:val="13"/>
        </w:numPr>
        <w:autoSpaceDE w:val="0"/>
        <w:autoSpaceDN w:val="0"/>
        <w:adjustRightInd w:val="0"/>
        <w:spacing w:after="0"/>
        <w:rPr>
          <w:rFonts w:ascii="Times New Roman" w:hAnsi="Times New Roman"/>
          <w:sz w:val="20"/>
          <w:szCs w:val="20"/>
          <w:lang w:eastAsia="hu-HU"/>
        </w:rPr>
      </w:pPr>
      <w:r w:rsidRPr="00452932">
        <w:rPr>
          <w:rFonts w:ascii="Times New Roman" w:hAnsi="Times New Roman"/>
          <w:sz w:val="20"/>
          <w:szCs w:val="20"/>
          <w:lang w:eastAsia="hu-HU"/>
        </w:rPr>
        <w:t>Közép-magyarországi Iroda</w:t>
      </w:r>
    </w:p>
    <w:p w:rsidR="00AC5E54" w:rsidRPr="00452932" w:rsidRDefault="00AC5E54" w:rsidP="00452932">
      <w:pPr>
        <w:numPr>
          <w:ilvl w:val="0"/>
          <w:numId w:val="13"/>
        </w:numPr>
        <w:autoSpaceDE w:val="0"/>
        <w:autoSpaceDN w:val="0"/>
        <w:adjustRightInd w:val="0"/>
        <w:spacing w:after="0"/>
        <w:rPr>
          <w:rFonts w:ascii="Times New Roman" w:hAnsi="Times New Roman"/>
          <w:sz w:val="20"/>
          <w:szCs w:val="20"/>
          <w:lang w:eastAsia="hu-HU"/>
        </w:rPr>
      </w:pPr>
      <w:r w:rsidRPr="00452932">
        <w:rPr>
          <w:rFonts w:ascii="Times New Roman" w:hAnsi="Times New Roman"/>
          <w:sz w:val="20"/>
          <w:szCs w:val="20"/>
          <w:lang w:eastAsia="hu-HU"/>
        </w:rPr>
        <w:t>Közép-dunántúli Iroda</w:t>
      </w:r>
    </w:p>
    <w:p w:rsidR="00AC5E54" w:rsidRPr="00452932" w:rsidRDefault="00AC5E54" w:rsidP="00452932">
      <w:pPr>
        <w:numPr>
          <w:ilvl w:val="0"/>
          <w:numId w:val="13"/>
        </w:numPr>
        <w:autoSpaceDE w:val="0"/>
        <w:autoSpaceDN w:val="0"/>
        <w:adjustRightInd w:val="0"/>
        <w:spacing w:after="0"/>
        <w:rPr>
          <w:rFonts w:ascii="Times New Roman" w:hAnsi="Times New Roman"/>
          <w:sz w:val="20"/>
          <w:szCs w:val="20"/>
          <w:lang w:eastAsia="hu-HU"/>
        </w:rPr>
      </w:pPr>
      <w:r w:rsidRPr="00452932">
        <w:rPr>
          <w:rFonts w:ascii="Times New Roman" w:hAnsi="Times New Roman"/>
          <w:sz w:val="20"/>
          <w:szCs w:val="20"/>
          <w:lang w:eastAsia="hu-HU"/>
        </w:rPr>
        <w:t>Dél-dunántúli Iroda</w:t>
      </w:r>
    </w:p>
    <w:p w:rsidR="00AC5E54" w:rsidRPr="00452932" w:rsidRDefault="00AC5E54" w:rsidP="00452932">
      <w:pPr>
        <w:numPr>
          <w:ilvl w:val="0"/>
          <w:numId w:val="13"/>
        </w:numPr>
        <w:autoSpaceDE w:val="0"/>
        <w:autoSpaceDN w:val="0"/>
        <w:adjustRightInd w:val="0"/>
        <w:spacing w:after="0"/>
        <w:rPr>
          <w:rFonts w:ascii="Times New Roman" w:hAnsi="Times New Roman"/>
          <w:sz w:val="20"/>
          <w:szCs w:val="20"/>
          <w:lang w:eastAsia="hu-HU"/>
        </w:rPr>
      </w:pPr>
      <w:r w:rsidRPr="00452932">
        <w:rPr>
          <w:rFonts w:ascii="Times New Roman" w:hAnsi="Times New Roman"/>
          <w:sz w:val="20"/>
          <w:szCs w:val="20"/>
          <w:lang w:eastAsia="hu-HU"/>
        </w:rPr>
        <w:t>Nyugat-dunántúli Iroda</w:t>
      </w:r>
    </w:p>
    <w:p w:rsidR="00AC5E54" w:rsidRPr="00452932" w:rsidRDefault="00AC5E54" w:rsidP="00452932">
      <w:pPr>
        <w:numPr>
          <w:ilvl w:val="0"/>
          <w:numId w:val="13"/>
        </w:numPr>
        <w:autoSpaceDE w:val="0"/>
        <w:autoSpaceDN w:val="0"/>
        <w:adjustRightInd w:val="0"/>
        <w:spacing w:after="0"/>
        <w:rPr>
          <w:rFonts w:ascii="Times New Roman" w:hAnsi="Times New Roman"/>
          <w:sz w:val="20"/>
          <w:szCs w:val="20"/>
          <w:lang w:eastAsia="hu-HU"/>
        </w:rPr>
      </w:pPr>
      <w:r w:rsidRPr="00452932">
        <w:rPr>
          <w:rFonts w:ascii="Times New Roman" w:hAnsi="Times New Roman"/>
          <w:sz w:val="20"/>
          <w:szCs w:val="20"/>
          <w:lang w:eastAsia="hu-HU"/>
        </w:rPr>
        <w:t>Észak-magyarországi Iroda</w:t>
      </w:r>
    </w:p>
    <w:p w:rsidR="00AC5E54" w:rsidRPr="00B57F35" w:rsidRDefault="00AC5E54">
      <w:pPr>
        <w:rPr>
          <w:sz w:val="20"/>
          <w:szCs w:val="20"/>
        </w:rPr>
      </w:pPr>
    </w:p>
    <w:tbl>
      <w:tblPr>
        <w:tblW w:w="0" w:type="auto"/>
        <w:tblInd w:w="53" w:type="dxa"/>
        <w:tblCellMar>
          <w:left w:w="70" w:type="dxa"/>
          <w:right w:w="70" w:type="dxa"/>
        </w:tblCellMar>
        <w:tblLook w:val="00A0"/>
      </w:tblPr>
      <w:tblGrid>
        <w:gridCol w:w="267"/>
        <w:gridCol w:w="8892"/>
      </w:tblGrid>
      <w:tr w:rsidR="00AC5E54" w:rsidRPr="00B43266" w:rsidTr="009E7BFF">
        <w:trPr>
          <w:trHeight w:val="491"/>
        </w:trPr>
        <w:tc>
          <w:tcPr>
            <w:tcW w:w="0" w:type="auto"/>
            <w:tcBorders>
              <w:top w:val="nil"/>
              <w:left w:val="nil"/>
              <w:bottom w:val="nil"/>
              <w:right w:val="nil"/>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 xml:space="preserve">3. </w:t>
            </w:r>
          </w:p>
        </w:tc>
        <w:tc>
          <w:tcPr>
            <w:tcW w:w="0" w:type="auto"/>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Központ és más telephelyek felsorolása, az ott foglalkoztatottak átlagos állományi létszáma 2010. május 14-ei állapot szerint (fő)</w:t>
            </w:r>
          </w:p>
        </w:tc>
      </w:tr>
    </w:tbl>
    <w:p w:rsidR="00AC5E54" w:rsidRPr="00B57F35" w:rsidRDefault="00AC5E54">
      <w:pPr>
        <w:rPr>
          <w:sz w:val="20"/>
          <w:szCs w:val="20"/>
        </w:rPr>
      </w:pPr>
    </w:p>
    <w:tbl>
      <w:tblPr>
        <w:tblW w:w="5840" w:type="dxa"/>
        <w:tblInd w:w="53" w:type="dxa"/>
        <w:tblCellMar>
          <w:left w:w="70" w:type="dxa"/>
          <w:right w:w="70" w:type="dxa"/>
        </w:tblCellMar>
        <w:tblLook w:val="00A0"/>
      </w:tblPr>
      <w:tblGrid>
        <w:gridCol w:w="1852"/>
        <w:gridCol w:w="2040"/>
        <w:gridCol w:w="1960"/>
      </w:tblGrid>
      <w:tr w:rsidR="00AC5E54" w:rsidRPr="00B43266" w:rsidTr="009E7BFF">
        <w:trPr>
          <w:trHeight w:val="270"/>
        </w:trPr>
        <w:tc>
          <w:tcPr>
            <w:tcW w:w="1840" w:type="dxa"/>
            <w:tcBorders>
              <w:top w:val="single" w:sz="8" w:space="0" w:color="auto"/>
              <w:left w:val="single" w:sz="8" w:space="0" w:color="auto"/>
              <w:bottom w:val="single" w:sz="8" w:space="0" w:color="auto"/>
              <w:right w:val="nil"/>
            </w:tcBorders>
            <w:shd w:val="clear" w:color="000000" w:fill="00FF00"/>
            <w:vAlign w:val="center"/>
          </w:tcPr>
          <w:p w:rsidR="00AC5E54" w:rsidRPr="009E7BFF" w:rsidRDefault="00AC5E54" w:rsidP="009E7BFF">
            <w:pPr>
              <w:spacing w:after="0" w:line="240" w:lineRule="auto"/>
              <w:jc w:val="center"/>
              <w:rPr>
                <w:rFonts w:ascii="Arial" w:hAnsi="Arial" w:cs="Arial"/>
                <w:b/>
                <w:bCs/>
                <w:sz w:val="20"/>
                <w:szCs w:val="20"/>
                <w:lang w:eastAsia="hu-HU"/>
              </w:rPr>
            </w:pPr>
            <w:r w:rsidRPr="009E7BFF">
              <w:rPr>
                <w:rFonts w:ascii="Arial" w:hAnsi="Arial" w:cs="Arial"/>
                <w:b/>
                <w:bCs/>
                <w:sz w:val="20"/>
                <w:szCs w:val="20"/>
                <w:lang w:eastAsia="hu-HU"/>
              </w:rPr>
              <w:t>Település</w:t>
            </w:r>
          </w:p>
        </w:tc>
        <w:tc>
          <w:tcPr>
            <w:tcW w:w="2040" w:type="dxa"/>
            <w:tcBorders>
              <w:top w:val="single" w:sz="8" w:space="0" w:color="auto"/>
              <w:left w:val="single" w:sz="8" w:space="0" w:color="auto"/>
              <w:bottom w:val="single" w:sz="8" w:space="0" w:color="auto"/>
              <w:right w:val="single" w:sz="8" w:space="0" w:color="auto"/>
            </w:tcBorders>
            <w:shd w:val="clear" w:color="000000" w:fill="00FF00"/>
            <w:vAlign w:val="center"/>
          </w:tcPr>
          <w:p w:rsidR="00AC5E54" w:rsidRPr="009E7BFF" w:rsidRDefault="00AC5E54" w:rsidP="009E7BFF">
            <w:pPr>
              <w:spacing w:after="0" w:line="240" w:lineRule="auto"/>
              <w:jc w:val="center"/>
              <w:rPr>
                <w:rFonts w:ascii="Arial" w:hAnsi="Arial" w:cs="Arial"/>
                <w:b/>
                <w:bCs/>
                <w:sz w:val="20"/>
                <w:szCs w:val="20"/>
                <w:lang w:eastAsia="hu-HU"/>
              </w:rPr>
            </w:pPr>
            <w:r w:rsidRPr="009E7BFF">
              <w:rPr>
                <w:rFonts w:ascii="Arial" w:hAnsi="Arial" w:cs="Arial"/>
                <w:b/>
                <w:bCs/>
                <w:sz w:val="20"/>
                <w:szCs w:val="20"/>
                <w:lang w:eastAsia="hu-HU"/>
              </w:rPr>
              <w:t xml:space="preserve">Cím, </w:t>
            </w:r>
            <w:r w:rsidRPr="009E7BFF">
              <w:rPr>
                <w:rFonts w:ascii="Arial" w:hAnsi="Arial" w:cs="Arial"/>
                <w:b/>
                <w:bCs/>
                <w:i/>
                <w:iCs/>
                <w:sz w:val="20"/>
                <w:szCs w:val="20"/>
                <w:lang w:eastAsia="hu-HU"/>
              </w:rPr>
              <w:t>utca, házszám</w:t>
            </w:r>
          </w:p>
        </w:tc>
        <w:tc>
          <w:tcPr>
            <w:tcW w:w="1960" w:type="dxa"/>
            <w:tcBorders>
              <w:top w:val="single" w:sz="8" w:space="0" w:color="auto"/>
              <w:left w:val="nil"/>
              <w:bottom w:val="single" w:sz="8" w:space="0" w:color="auto"/>
              <w:right w:val="single" w:sz="8" w:space="0" w:color="auto"/>
            </w:tcBorders>
            <w:shd w:val="clear" w:color="000000" w:fill="00FF00"/>
            <w:vAlign w:val="center"/>
          </w:tcPr>
          <w:p w:rsidR="00AC5E54" w:rsidRPr="009E7BFF" w:rsidRDefault="00AC5E54" w:rsidP="009E7BFF">
            <w:pPr>
              <w:spacing w:after="0" w:line="240" w:lineRule="auto"/>
              <w:jc w:val="center"/>
              <w:rPr>
                <w:rFonts w:ascii="Arial" w:hAnsi="Arial" w:cs="Arial"/>
                <w:b/>
                <w:bCs/>
                <w:sz w:val="20"/>
                <w:szCs w:val="20"/>
                <w:lang w:eastAsia="hu-HU"/>
              </w:rPr>
            </w:pPr>
            <w:r w:rsidRPr="009E7BFF">
              <w:rPr>
                <w:rFonts w:ascii="Arial" w:hAnsi="Arial" w:cs="Arial"/>
                <w:b/>
                <w:bCs/>
                <w:sz w:val="20"/>
                <w:szCs w:val="20"/>
                <w:lang w:eastAsia="hu-HU"/>
              </w:rPr>
              <w:t>Létszám (fő)</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Oroszlány</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Oroszlány-Majk, 8</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Budapest</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III., Mókus u. 20.</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9</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Tata</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Tópart u.9.</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0</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Visegrád</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Fő u. 91.</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Visegrád</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Fő u. 93.</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Kőszeg</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Kiss János u. 7.</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Kőszeg</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Kiss János u. 36.</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Székesfehérvár</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Arany János u. 10.</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Eger</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Dobó István u. 30.</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Hódmezővásárhely</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Makó út</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Veszprém</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Házgyár u. 1.</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450"/>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Hegymagas</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Leszner présház, Szentgyörgyhegy</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Mihályi</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Korona u. 1.</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Mihályi</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Korona u. 1.</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Miskolc</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Rákóczi Ferenc u. 11.</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11</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Nyíregyháza</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Dózsa György u.29.</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4</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Pécs</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Szent István tér 15.</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13</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Sopron</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Új u. 16.</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Sopron</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Kolostor u. 13.</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7</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Szeged</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Oroszlán u. 6.</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11</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Szombathely</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Kőszegi u. 3.</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8</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Budapest</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Táncsics Mihály u. u. 1.</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97</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Budapest</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Talpas u. 4.</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0</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Győr</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Káptalan domb 28.</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5</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Gyula</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Szent Miklós park 1.</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0</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Hollókő</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Kossuth u. 117.</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Kaposvár</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Szigetvári út 117.</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Keszthely</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Balaton u. 17.</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4</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Kaposvár</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Zárda u. 9./2</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2</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Budapest</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Budakeszi út 51/b</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Budapest</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Iskola lépcső</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shd w:val="clear" w:color="000000" w:fill="538ED5"/>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Miskolc</w:t>
            </w:r>
          </w:p>
        </w:tc>
        <w:tc>
          <w:tcPr>
            <w:tcW w:w="2040" w:type="dxa"/>
            <w:tcBorders>
              <w:top w:val="nil"/>
              <w:left w:val="single" w:sz="8" w:space="0" w:color="auto"/>
              <w:bottom w:val="single" w:sz="4" w:space="0" w:color="auto"/>
              <w:right w:val="single" w:sz="8" w:space="0" w:color="auto"/>
            </w:tcBorders>
            <w:shd w:val="clear" w:color="000000" w:fill="538ED5"/>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III. kerület</w:t>
            </w:r>
          </w:p>
        </w:tc>
        <w:tc>
          <w:tcPr>
            <w:tcW w:w="1960" w:type="dxa"/>
            <w:tcBorders>
              <w:top w:val="nil"/>
              <w:left w:val="nil"/>
              <w:bottom w:val="single" w:sz="4" w:space="0" w:color="auto"/>
              <w:right w:val="single" w:sz="8" w:space="0" w:color="auto"/>
            </w:tcBorders>
            <w:shd w:val="clear" w:color="000000" w:fill="538ED5"/>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Budapest</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Szentháromság tér 6.</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95</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Debrecen</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Piac u. 79.</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7</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Eger</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Kossuth L. u. 4.</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3</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Veszprém</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Vörösmarty tér 4.</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7</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Kecskemét</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Széchenyi tér 9.</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1</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Salgótarján</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Rákóczi út 36.</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2</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Székesfehérvár</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Távírda u. 2.</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13</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Szekszárd</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Szt. István tér 11-13.</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1</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Szolnok</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Verseghy park 8.</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3</w:t>
            </w:r>
          </w:p>
        </w:tc>
      </w:tr>
      <w:tr w:rsidR="00AC5E54" w:rsidRPr="00B43266" w:rsidTr="009E7BFF">
        <w:trPr>
          <w:trHeight w:val="255"/>
        </w:trPr>
        <w:tc>
          <w:tcPr>
            <w:tcW w:w="1840" w:type="dxa"/>
            <w:tcBorders>
              <w:top w:val="nil"/>
              <w:left w:val="single" w:sz="8" w:space="0" w:color="auto"/>
              <w:bottom w:val="single" w:sz="4" w:space="0" w:color="auto"/>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Budapest</w:t>
            </w:r>
          </w:p>
        </w:tc>
        <w:tc>
          <w:tcPr>
            <w:tcW w:w="2040" w:type="dxa"/>
            <w:tcBorders>
              <w:top w:val="nil"/>
              <w:left w:val="single" w:sz="8" w:space="0" w:color="auto"/>
              <w:bottom w:val="single" w:sz="4"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Színház u. 5-7.</w:t>
            </w:r>
          </w:p>
        </w:tc>
        <w:tc>
          <w:tcPr>
            <w:tcW w:w="1960" w:type="dxa"/>
            <w:tcBorders>
              <w:top w:val="nil"/>
              <w:left w:val="nil"/>
              <w:bottom w:val="single" w:sz="4" w:space="0" w:color="auto"/>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4</w:t>
            </w:r>
          </w:p>
        </w:tc>
      </w:tr>
      <w:tr w:rsidR="00AC5E54" w:rsidRPr="00B43266" w:rsidTr="009E7BFF">
        <w:trPr>
          <w:trHeight w:val="270"/>
        </w:trPr>
        <w:tc>
          <w:tcPr>
            <w:tcW w:w="1840" w:type="dxa"/>
            <w:tcBorders>
              <w:top w:val="nil"/>
              <w:left w:val="single" w:sz="8" w:space="0" w:color="auto"/>
              <w:bottom w:val="nil"/>
              <w:right w:val="nil"/>
            </w:tcBorders>
            <w:noWrap/>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Pécs</w:t>
            </w:r>
          </w:p>
        </w:tc>
        <w:tc>
          <w:tcPr>
            <w:tcW w:w="2040" w:type="dxa"/>
            <w:tcBorders>
              <w:top w:val="nil"/>
              <w:left w:val="single" w:sz="8" w:space="0" w:color="auto"/>
              <w:bottom w:val="single" w:sz="8" w:space="0" w:color="auto"/>
              <w:right w:val="single" w:sz="8" w:space="0" w:color="auto"/>
            </w:tcBorders>
            <w:vAlign w:val="bottom"/>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Rákóczi u. 1.</w:t>
            </w:r>
          </w:p>
        </w:tc>
        <w:tc>
          <w:tcPr>
            <w:tcW w:w="1960" w:type="dxa"/>
            <w:tcBorders>
              <w:top w:val="nil"/>
              <w:left w:val="nil"/>
              <w:bottom w:val="nil"/>
              <w:right w:val="single" w:sz="8" w:space="0" w:color="auto"/>
            </w:tcBorders>
            <w:noWrap/>
            <w:vAlign w:val="center"/>
          </w:tcPr>
          <w:p w:rsidR="00AC5E54" w:rsidRPr="009E7BFF" w:rsidRDefault="00AC5E54" w:rsidP="009E7BFF">
            <w:pPr>
              <w:spacing w:after="0" w:line="240" w:lineRule="auto"/>
              <w:jc w:val="center"/>
              <w:rPr>
                <w:rFonts w:ascii="Arial" w:hAnsi="Arial" w:cs="Arial"/>
                <w:sz w:val="20"/>
                <w:szCs w:val="20"/>
                <w:lang w:eastAsia="hu-HU"/>
              </w:rPr>
            </w:pPr>
            <w:r w:rsidRPr="009E7BFF">
              <w:rPr>
                <w:rFonts w:ascii="Arial" w:hAnsi="Arial" w:cs="Arial"/>
                <w:sz w:val="20"/>
                <w:szCs w:val="20"/>
                <w:lang w:eastAsia="hu-HU"/>
              </w:rPr>
              <w:t>1</w:t>
            </w:r>
          </w:p>
        </w:tc>
      </w:tr>
      <w:tr w:rsidR="00AC5E54" w:rsidRPr="00B43266" w:rsidTr="009E7BFF">
        <w:trPr>
          <w:trHeight w:val="270"/>
        </w:trPr>
        <w:tc>
          <w:tcPr>
            <w:tcW w:w="3880" w:type="dxa"/>
            <w:gridSpan w:val="2"/>
            <w:tcBorders>
              <w:top w:val="single" w:sz="8" w:space="0" w:color="auto"/>
              <w:left w:val="single" w:sz="8" w:space="0" w:color="auto"/>
              <w:bottom w:val="single" w:sz="8" w:space="0" w:color="auto"/>
              <w:right w:val="single" w:sz="8" w:space="0" w:color="000000"/>
            </w:tcBorders>
            <w:shd w:val="clear" w:color="000000" w:fill="FFC000"/>
            <w:noWrap/>
            <w:vAlign w:val="bottom"/>
          </w:tcPr>
          <w:p w:rsidR="00AC5E54" w:rsidRPr="009E7BFF" w:rsidRDefault="00AC5E54" w:rsidP="009E7BFF">
            <w:pPr>
              <w:spacing w:after="0" w:line="240" w:lineRule="auto"/>
              <w:jc w:val="center"/>
              <w:rPr>
                <w:rFonts w:ascii="Arial" w:hAnsi="Arial" w:cs="Arial"/>
                <w:b/>
                <w:bCs/>
                <w:sz w:val="20"/>
                <w:szCs w:val="20"/>
                <w:lang w:eastAsia="hu-HU"/>
              </w:rPr>
            </w:pPr>
            <w:r w:rsidRPr="009E7BFF">
              <w:rPr>
                <w:rFonts w:ascii="Arial" w:hAnsi="Arial" w:cs="Arial"/>
                <w:b/>
                <w:bCs/>
                <w:sz w:val="20"/>
                <w:szCs w:val="20"/>
                <w:lang w:eastAsia="hu-HU"/>
              </w:rPr>
              <w:t>Átlagos állományi létszám összesen:</w:t>
            </w:r>
          </w:p>
        </w:tc>
        <w:tc>
          <w:tcPr>
            <w:tcW w:w="1960" w:type="dxa"/>
            <w:tcBorders>
              <w:top w:val="single" w:sz="8" w:space="0" w:color="auto"/>
              <w:left w:val="nil"/>
              <w:bottom w:val="single" w:sz="8" w:space="0" w:color="auto"/>
              <w:right w:val="single" w:sz="8" w:space="0" w:color="auto"/>
            </w:tcBorders>
            <w:shd w:val="clear" w:color="000000" w:fill="FFC000"/>
            <w:noWrap/>
            <w:vAlign w:val="center"/>
          </w:tcPr>
          <w:p w:rsidR="00AC5E54" w:rsidRPr="009E7BFF" w:rsidRDefault="00AC5E54" w:rsidP="009E7BFF">
            <w:pPr>
              <w:spacing w:after="0" w:line="240" w:lineRule="auto"/>
              <w:jc w:val="center"/>
              <w:rPr>
                <w:rFonts w:ascii="Arial" w:hAnsi="Arial" w:cs="Arial"/>
                <w:b/>
                <w:bCs/>
                <w:sz w:val="20"/>
                <w:szCs w:val="20"/>
                <w:lang w:eastAsia="hu-HU"/>
              </w:rPr>
            </w:pPr>
            <w:r w:rsidRPr="009E7BFF">
              <w:rPr>
                <w:rFonts w:ascii="Arial" w:hAnsi="Arial" w:cs="Arial"/>
                <w:b/>
                <w:bCs/>
                <w:sz w:val="20"/>
                <w:szCs w:val="20"/>
                <w:lang w:eastAsia="hu-HU"/>
              </w:rPr>
              <w:t>308</w:t>
            </w:r>
          </w:p>
        </w:tc>
      </w:tr>
      <w:tr w:rsidR="00AC5E54" w:rsidRPr="00B43266" w:rsidTr="009E7BFF">
        <w:trPr>
          <w:trHeight w:val="270"/>
        </w:trPr>
        <w:tc>
          <w:tcPr>
            <w:tcW w:w="18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20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9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r w:rsidR="00AC5E54" w:rsidRPr="00B43266" w:rsidTr="00452932">
        <w:trPr>
          <w:trHeight w:val="441"/>
        </w:trPr>
        <w:tc>
          <w:tcPr>
            <w:tcW w:w="1840" w:type="dxa"/>
            <w:tcBorders>
              <w:top w:val="single" w:sz="8" w:space="0" w:color="auto"/>
              <w:left w:val="single" w:sz="8" w:space="0" w:color="auto"/>
              <w:bottom w:val="single" w:sz="8" w:space="0" w:color="auto"/>
              <w:right w:val="single" w:sz="8" w:space="0" w:color="auto"/>
            </w:tcBorders>
            <w:shd w:val="clear" w:color="000000" w:fill="538ED5"/>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 </w:t>
            </w:r>
          </w:p>
        </w:tc>
        <w:tc>
          <w:tcPr>
            <w:tcW w:w="4000" w:type="dxa"/>
            <w:gridSpan w:val="2"/>
            <w:tcBorders>
              <w:top w:val="single" w:sz="8" w:space="0" w:color="auto"/>
              <w:left w:val="nil"/>
              <w:bottom w:val="single" w:sz="8" w:space="0" w:color="auto"/>
              <w:right w:val="single" w:sz="8" w:space="0" w:color="000000"/>
            </w:tcBorders>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A hivatal által nem irodai célokra használt ingatlanok</w:t>
            </w:r>
          </w:p>
        </w:tc>
      </w:tr>
    </w:tbl>
    <w:p w:rsidR="00AC5E54" w:rsidRPr="00B57F35" w:rsidRDefault="00AC5E54">
      <w:pPr>
        <w:rPr>
          <w:sz w:val="20"/>
          <w:szCs w:val="20"/>
        </w:rPr>
      </w:pPr>
    </w:p>
    <w:tbl>
      <w:tblPr>
        <w:tblW w:w="12040" w:type="dxa"/>
        <w:tblInd w:w="53" w:type="dxa"/>
        <w:tblCellMar>
          <w:left w:w="70" w:type="dxa"/>
          <w:right w:w="70" w:type="dxa"/>
        </w:tblCellMar>
        <w:tblLook w:val="00A0"/>
      </w:tblPr>
      <w:tblGrid>
        <w:gridCol w:w="620"/>
        <w:gridCol w:w="4840"/>
        <w:gridCol w:w="1960"/>
        <w:gridCol w:w="1620"/>
        <w:gridCol w:w="1540"/>
        <w:gridCol w:w="1460"/>
      </w:tblGrid>
      <w:tr w:rsidR="00AC5E54" w:rsidRPr="00B43266" w:rsidTr="009E7BFF">
        <w:trPr>
          <w:trHeight w:val="255"/>
        </w:trPr>
        <w:tc>
          <w:tcPr>
            <w:tcW w:w="620" w:type="dxa"/>
            <w:tcBorders>
              <w:top w:val="nil"/>
              <w:left w:val="nil"/>
              <w:bottom w:val="nil"/>
              <w:right w:val="nil"/>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4.</w:t>
            </w:r>
          </w:p>
        </w:tc>
        <w:tc>
          <w:tcPr>
            <w:tcW w:w="48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Az intézmény költségvetési helyzete (millió forint)</w:t>
            </w:r>
          </w:p>
        </w:tc>
        <w:tc>
          <w:tcPr>
            <w:tcW w:w="19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62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5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4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bl>
    <w:p w:rsidR="00AC5E54" w:rsidRPr="00B57F35" w:rsidRDefault="00AC5E54">
      <w:pPr>
        <w:rPr>
          <w:sz w:val="20"/>
          <w:szCs w:val="20"/>
        </w:rPr>
      </w:pPr>
    </w:p>
    <w:tbl>
      <w:tblPr>
        <w:tblW w:w="0" w:type="auto"/>
        <w:tblInd w:w="53" w:type="dxa"/>
        <w:tblCellMar>
          <w:left w:w="70" w:type="dxa"/>
          <w:right w:w="70" w:type="dxa"/>
        </w:tblCellMar>
        <w:tblLook w:val="00A0"/>
      </w:tblPr>
      <w:tblGrid>
        <w:gridCol w:w="876"/>
        <w:gridCol w:w="2194"/>
        <w:gridCol w:w="1445"/>
        <w:gridCol w:w="1746"/>
        <w:gridCol w:w="1029"/>
        <w:gridCol w:w="1029"/>
        <w:gridCol w:w="840"/>
      </w:tblGrid>
      <w:tr w:rsidR="00AC5E54" w:rsidRPr="00B43266" w:rsidTr="009E7BFF">
        <w:trPr>
          <w:trHeight w:val="255"/>
        </w:trPr>
        <w:tc>
          <w:tcPr>
            <w:tcW w:w="0" w:type="auto"/>
            <w:tcBorders>
              <w:top w:val="single" w:sz="4" w:space="0" w:color="auto"/>
              <w:left w:val="single" w:sz="4" w:space="0" w:color="auto"/>
              <w:bottom w:val="nil"/>
              <w:right w:val="nil"/>
            </w:tcBorders>
            <w:noWrap/>
            <w:vAlign w:val="center"/>
          </w:tcPr>
          <w:p w:rsidR="00AC5E54" w:rsidRPr="009E7BFF" w:rsidRDefault="00AC5E54" w:rsidP="009E7BFF">
            <w:pPr>
              <w:spacing w:after="0" w:line="240" w:lineRule="auto"/>
              <w:rPr>
                <w:rFonts w:ascii="Times New Roman" w:hAnsi="Times New Roman"/>
                <w:b/>
                <w:bCs/>
                <w:sz w:val="20"/>
                <w:szCs w:val="20"/>
                <w:lang w:eastAsia="hu-HU"/>
              </w:rPr>
            </w:pPr>
            <w:r w:rsidRPr="009E7BFF">
              <w:rPr>
                <w:rFonts w:ascii="Times New Roman" w:hAnsi="Times New Roman"/>
                <w:b/>
                <w:bCs/>
                <w:sz w:val="20"/>
                <w:szCs w:val="20"/>
                <w:lang w:eastAsia="hu-HU"/>
              </w:rPr>
              <w:t> </w:t>
            </w:r>
          </w:p>
        </w:tc>
        <w:tc>
          <w:tcPr>
            <w:tcW w:w="0" w:type="auto"/>
            <w:tcBorders>
              <w:top w:val="single" w:sz="4" w:space="0" w:color="auto"/>
              <w:left w:val="nil"/>
              <w:bottom w:val="nil"/>
              <w:right w:val="single" w:sz="4" w:space="0" w:color="auto"/>
            </w:tcBorders>
            <w:noWrap/>
            <w:vAlign w:val="center"/>
          </w:tcPr>
          <w:p w:rsidR="00AC5E54" w:rsidRPr="009E7BFF" w:rsidRDefault="00AC5E54" w:rsidP="009E7BFF">
            <w:pPr>
              <w:spacing w:after="0" w:line="240" w:lineRule="auto"/>
              <w:rPr>
                <w:rFonts w:ascii="Times New Roman" w:hAnsi="Times New Roman"/>
                <w:b/>
                <w:bCs/>
                <w:sz w:val="20"/>
                <w:szCs w:val="20"/>
                <w:lang w:eastAsia="hu-HU"/>
              </w:rPr>
            </w:pPr>
            <w:r w:rsidRPr="009E7BFF">
              <w:rPr>
                <w:rFonts w:ascii="Times New Roman" w:hAnsi="Times New Roman"/>
                <w:b/>
                <w:bCs/>
                <w:sz w:val="20"/>
                <w:szCs w:val="20"/>
                <w:lang w:eastAsia="hu-HU"/>
              </w:rPr>
              <w:t> </w:t>
            </w:r>
          </w:p>
        </w:tc>
        <w:tc>
          <w:tcPr>
            <w:tcW w:w="0" w:type="auto"/>
            <w:gridSpan w:val="2"/>
            <w:tcBorders>
              <w:top w:val="single" w:sz="4" w:space="0" w:color="auto"/>
              <w:left w:val="nil"/>
              <w:bottom w:val="single" w:sz="4" w:space="0" w:color="auto"/>
              <w:right w:val="single" w:sz="4" w:space="0" w:color="000000"/>
            </w:tcBorders>
            <w:noWrap/>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2009. XII.31-ei beszámoló szerint</w:t>
            </w:r>
          </w:p>
        </w:tc>
        <w:tc>
          <w:tcPr>
            <w:tcW w:w="0" w:type="auto"/>
            <w:gridSpan w:val="3"/>
            <w:tcBorders>
              <w:top w:val="single" w:sz="4" w:space="0" w:color="auto"/>
              <w:left w:val="nil"/>
              <w:bottom w:val="single" w:sz="4" w:space="0" w:color="auto"/>
              <w:right w:val="single" w:sz="4" w:space="0" w:color="000000"/>
            </w:tcBorders>
            <w:noWrap/>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2010. V.14-ei állapot</w:t>
            </w:r>
          </w:p>
        </w:tc>
      </w:tr>
      <w:tr w:rsidR="00AC5E54" w:rsidRPr="00B43266" w:rsidTr="009E7BFF">
        <w:trPr>
          <w:trHeight w:val="480"/>
        </w:trPr>
        <w:tc>
          <w:tcPr>
            <w:tcW w:w="0" w:type="auto"/>
            <w:tcBorders>
              <w:top w:val="nil"/>
              <w:left w:val="single" w:sz="4" w:space="0" w:color="auto"/>
              <w:bottom w:val="single" w:sz="4" w:space="0" w:color="auto"/>
              <w:right w:val="nil"/>
            </w:tcBorders>
            <w:noWrap/>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 </w:t>
            </w:r>
          </w:p>
        </w:tc>
        <w:tc>
          <w:tcPr>
            <w:tcW w:w="0" w:type="auto"/>
            <w:tcBorders>
              <w:top w:val="nil"/>
              <w:left w:val="nil"/>
              <w:bottom w:val="single" w:sz="4" w:space="0" w:color="auto"/>
              <w:right w:val="single" w:sz="4" w:space="0" w:color="auto"/>
            </w:tcBorders>
            <w:noWrap/>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 </w:t>
            </w:r>
          </w:p>
        </w:tc>
        <w:tc>
          <w:tcPr>
            <w:tcW w:w="0" w:type="auto"/>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tényleges teljesítés</w:t>
            </w:r>
          </w:p>
        </w:tc>
        <w:tc>
          <w:tcPr>
            <w:tcW w:w="0" w:type="auto"/>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előirányzat-maradvány</w:t>
            </w:r>
          </w:p>
        </w:tc>
        <w:tc>
          <w:tcPr>
            <w:tcW w:w="0" w:type="auto"/>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 xml:space="preserve">eredeti </w:t>
            </w:r>
            <w:r w:rsidRPr="009E7BFF">
              <w:rPr>
                <w:rFonts w:ascii="Times New Roman" w:hAnsi="Times New Roman"/>
                <w:sz w:val="20"/>
                <w:szCs w:val="20"/>
                <w:lang w:eastAsia="hu-HU"/>
              </w:rPr>
              <w:br/>
              <w:t>előirányzat</w:t>
            </w:r>
          </w:p>
        </w:tc>
        <w:tc>
          <w:tcPr>
            <w:tcW w:w="0" w:type="auto"/>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 xml:space="preserve">aktuális </w:t>
            </w:r>
            <w:r w:rsidRPr="009E7BFF">
              <w:rPr>
                <w:rFonts w:ascii="Times New Roman" w:hAnsi="Times New Roman"/>
                <w:sz w:val="20"/>
                <w:szCs w:val="20"/>
                <w:lang w:eastAsia="hu-HU"/>
              </w:rPr>
              <w:br/>
              <w:t>előirányzat</w:t>
            </w:r>
          </w:p>
        </w:tc>
        <w:tc>
          <w:tcPr>
            <w:tcW w:w="0" w:type="auto"/>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teljesítés</w:t>
            </w:r>
          </w:p>
        </w:tc>
      </w:tr>
      <w:tr w:rsidR="00AC5E54" w:rsidRPr="00B43266" w:rsidTr="009E7BFF">
        <w:trPr>
          <w:trHeight w:val="255"/>
        </w:trPr>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Költségvetési támogatás</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3 174</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 xml:space="preserve">  -</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2 194</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2 238</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822</w:t>
            </w:r>
          </w:p>
        </w:tc>
      </w:tr>
      <w:tr w:rsidR="00AC5E54" w:rsidRPr="00B43266" w:rsidTr="009E7BFF">
        <w:trPr>
          <w:trHeight w:val="255"/>
        </w:trPr>
        <w:tc>
          <w:tcPr>
            <w:tcW w:w="0" w:type="auto"/>
            <w:tcBorders>
              <w:top w:val="nil"/>
              <w:left w:val="single" w:sz="4" w:space="0" w:color="auto"/>
              <w:bottom w:val="single" w:sz="4" w:space="0" w:color="auto"/>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 xml:space="preserve">Bevétel </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 </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260</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 xml:space="preserve">  -</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220</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310</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158</w:t>
            </w:r>
          </w:p>
        </w:tc>
      </w:tr>
      <w:tr w:rsidR="00AC5E54" w:rsidRPr="00B43266" w:rsidTr="009E7BFF">
        <w:trPr>
          <w:trHeight w:val="255"/>
        </w:trPr>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Kiadás összesen</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3 602</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69</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2 414</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2 617</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1 008</w:t>
            </w:r>
          </w:p>
        </w:tc>
      </w:tr>
      <w:tr w:rsidR="00AC5E54" w:rsidRPr="00B43266" w:rsidTr="009E7BFF">
        <w:trPr>
          <w:trHeight w:val="255"/>
        </w:trPr>
        <w:tc>
          <w:tcPr>
            <w:tcW w:w="0" w:type="auto"/>
            <w:tcBorders>
              <w:top w:val="nil"/>
              <w:left w:val="single" w:sz="4" w:space="0" w:color="auto"/>
              <w:bottom w:val="single" w:sz="4" w:space="0" w:color="auto"/>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ebből:</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központi beruházás</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20</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0</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90</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40</w:t>
            </w:r>
          </w:p>
        </w:tc>
      </w:tr>
      <w:tr w:rsidR="00AC5E54" w:rsidRPr="00B43266" w:rsidTr="009E7BFF">
        <w:trPr>
          <w:trHeight w:val="255"/>
        </w:trPr>
        <w:tc>
          <w:tcPr>
            <w:tcW w:w="0" w:type="auto"/>
            <w:tcBorders>
              <w:top w:val="nil"/>
              <w:left w:val="single" w:sz="4" w:space="0" w:color="auto"/>
              <w:bottom w:val="single" w:sz="4" w:space="0" w:color="auto"/>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 </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intézményi beruházás</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57</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 xml:space="preserve">  -</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184</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182</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24</w:t>
            </w:r>
          </w:p>
        </w:tc>
      </w:tr>
      <w:tr w:rsidR="00AC5E54" w:rsidRPr="00B43266" w:rsidTr="009E7BFF">
        <w:trPr>
          <w:trHeight w:val="255"/>
        </w:trPr>
        <w:tc>
          <w:tcPr>
            <w:tcW w:w="0" w:type="auto"/>
            <w:tcBorders>
              <w:top w:val="nil"/>
              <w:left w:val="single" w:sz="4" w:space="0" w:color="auto"/>
              <w:bottom w:val="single" w:sz="4" w:space="0" w:color="auto"/>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 </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intézményi felújítás</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70</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 xml:space="preserve">  -</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0</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1</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1</w:t>
            </w:r>
          </w:p>
        </w:tc>
      </w:tr>
      <w:tr w:rsidR="00AC5E54" w:rsidRPr="00B43266" w:rsidTr="009E7BFF">
        <w:trPr>
          <w:trHeight w:val="255"/>
        </w:trPr>
        <w:tc>
          <w:tcPr>
            <w:tcW w:w="0" w:type="auto"/>
            <w:gridSpan w:val="2"/>
            <w:tcBorders>
              <w:top w:val="single" w:sz="4" w:space="0" w:color="auto"/>
              <w:left w:val="single" w:sz="4" w:space="0" w:color="auto"/>
              <w:bottom w:val="single" w:sz="4" w:space="0" w:color="auto"/>
              <w:right w:val="single" w:sz="4" w:space="0" w:color="000000"/>
            </w:tcBorders>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Kiadás összesenből maradvány felhasználás</w:t>
            </w:r>
          </w:p>
        </w:tc>
        <w:tc>
          <w:tcPr>
            <w:tcW w:w="0" w:type="auto"/>
            <w:tcBorders>
              <w:top w:val="nil"/>
              <w:left w:val="nil"/>
              <w:bottom w:val="single" w:sz="4" w:space="0" w:color="auto"/>
              <w:right w:val="single" w:sz="4" w:space="0" w:color="auto"/>
            </w:tcBorders>
            <w:noWrap/>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w:t>
            </w:r>
          </w:p>
        </w:tc>
        <w:tc>
          <w:tcPr>
            <w:tcW w:w="0" w:type="auto"/>
            <w:tcBorders>
              <w:top w:val="nil"/>
              <w:left w:val="nil"/>
              <w:bottom w:val="single" w:sz="4" w:space="0" w:color="auto"/>
              <w:right w:val="single" w:sz="4" w:space="0" w:color="auto"/>
            </w:tcBorders>
            <w:noWrap/>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w:t>
            </w:r>
          </w:p>
        </w:tc>
        <w:tc>
          <w:tcPr>
            <w:tcW w:w="0" w:type="auto"/>
            <w:tcBorders>
              <w:top w:val="nil"/>
              <w:left w:val="nil"/>
              <w:bottom w:val="single" w:sz="4" w:space="0" w:color="auto"/>
              <w:right w:val="single" w:sz="4" w:space="0" w:color="auto"/>
            </w:tcBorders>
            <w:noWrap/>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w:t>
            </w:r>
          </w:p>
        </w:tc>
        <w:tc>
          <w:tcPr>
            <w:tcW w:w="0" w:type="auto"/>
            <w:tcBorders>
              <w:top w:val="nil"/>
              <w:left w:val="nil"/>
              <w:bottom w:val="single" w:sz="4" w:space="0" w:color="auto"/>
              <w:right w:val="single" w:sz="4" w:space="0" w:color="auto"/>
            </w:tcBorders>
            <w:noWrap/>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w:t>
            </w:r>
          </w:p>
        </w:tc>
        <w:tc>
          <w:tcPr>
            <w:tcW w:w="0" w:type="auto"/>
            <w:tcBorders>
              <w:top w:val="nil"/>
              <w:left w:val="nil"/>
              <w:bottom w:val="single" w:sz="4" w:space="0" w:color="auto"/>
              <w:right w:val="single" w:sz="4" w:space="0" w:color="auto"/>
            </w:tcBorders>
            <w:noWrap/>
            <w:vAlign w:val="bottom"/>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33</w:t>
            </w:r>
          </w:p>
        </w:tc>
      </w:tr>
    </w:tbl>
    <w:p w:rsidR="00AC5E54" w:rsidRPr="00B57F35" w:rsidRDefault="00AC5E54">
      <w:pPr>
        <w:rPr>
          <w:sz w:val="20"/>
          <w:szCs w:val="20"/>
        </w:rPr>
      </w:pPr>
    </w:p>
    <w:tbl>
      <w:tblPr>
        <w:tblW w:w="0" w:type="auto"/>
        <w:tblInd w:w="53" w:type="dxa"/>
        <w:tblCellMar>
          <w:left w:w="70" w:type="dxa"/>
          <w:right w:w="70" w:type="dxa"/>
        </w:tblCellMar>
        <w:tblLook w:val="00A0"/>
      </w:tblPr>
      <w:tblGrid>
        <w:gridCol w:w="160"/>
        <w:gridCol w:w="8839"/>
        <w:gridCol w:w="160"/>
      </w:tblGrid>
      <w:tr w:rsidR="00AC5E54" w:rsidRPr="00B43266" w:rsidTr="009E7BFF">
        <w:trPr>
          <w:trHeight w:val="525"/>
        </w:trPr>
        <w:tc>
          <w:tcPr>
            <w:tcW w:w="0" w:type="auto"/>
            <w:tcBorders>
              <w:top w:val="nil"/>
              <w:left w:val="nil"/>
              <w:bottom w:val="nil"/>
              <w:right w:val="nil"/>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p>
        </w:tc>
        <w:tc>
          <w:tcPr>
            <w:tcW w:w="0" w:type="auto"/>
            <w:tcBorders>
              <w:top w:val="nil"/>
              <w:left w:val="nil"/>
              <w:bottom w:val="nil"/>
              <w:right w:val="nil"/>
            </w:tcBorders>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Az Intézmény 2009. évi költségvetési beszámolóját és a 2010. évi elemi költségvetését 1 példányban kinyomtatva, eredeti aláírásokkal és bélyegzővel ellátva meg kell küldeni.</w:t>
            </w:r>
          </w:p>
        </w:tc>
        <w:tc>
          <w:tcPr>
            <w:tcW w:w="0" w:type="auto"/>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bl>
    <w:p w:rsidR="00AC5E54" w:rsidRPr="00B57F35" w:rsidRDefault="00AC5E54">
      <w:pPr>
        <w:rPr>
          <w:sz w:val="20"/>
          <w:szCs w:val="20"/>
        </w:rPr>
      </w:pPr>
    </w:p>
    <w:tbl>
      <w:tblPr>
        <w:tblW w:w="0" w:type="auto"/>
        <w:tblInd w:w="53" w:type="dxa"/>
        <w:tblCellMar>
          <w:left w:w="70" w:type="dxa"/>
          <w:right w:w="70" w:type="dxa"/>
        </w:tblCellMar>
        <w:tblLook w:val="00A0"/>
      </w:tblPr>
      <w:tblGrid>
        <w:gridCol w:w="160"/>
        <w:gridCol w:w="8839"/>
        <w:gridCol w:w="160"/>
      </w:tblGrid>
      <w:tr w:rsidR="00AC5E54" w:rsidRPr="00B43266" w:rsidTr="009E7BFF">
        <w:trPr>
          <w:trHeight w:val="735"/>
        </w:trPr>
        <w:tc>
          <w:tcPr>
            <w:tcW w:w="0" w:type="auto"/>
            <w:tcBorders>
              <w:top w:val="nil"/>
              <w:left w:val="nil"/>
              <w:bottom w:val="nil"/>
              <w:right w:val="nil"/>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p>
        </w:tc>
        <w:tc>
          <w:tcPr>
            <w:tcW w:w="0" w:type="auto"/>
            <w:tcBorders>
              <w:top w:val="nil"/>
              <w:left w:val="nil"/>
              <w:bottom w:val="nil"/>
              <w:right w:val="nil"/>
            </w:tcBorders>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Az Intézmény pénzeszköz állománya 2010. május 14-ei állapot szerint (Ft-ban):  házipénztár(ak), devizapénztár(ak), valamennyi bankszámla bankszámlánkénti bontásban. Devizák esetében az  MNB napi árfolyamon számított Ft értéken kell az összegeket szerepeltetni.</w:t>
            </w:r>
          </w:p>
        </w:tc>
        <w:tc>
          <w:tcPr>
            <w:tcW w:w="0" w:type="auto"/>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bl>
    <w:p w:rsidR="00AC5E54" w:rsidRPr="00B57F35" w:rsidRDefault="00AC5E54">
      <w:pPr>
        <w:rPr>
          <w:sz w:val="20"/>
          <w:szCs w:val="20"/>
        </w:rPr>
      </w:pPr>
    </w:p>
    <w:tbl>
      <w:tblPr>
        <w:tblW w:w="5000" w:type="pct"/>
        <w:tblCellMar>
          <w:left w:w="70" w:type="dxa"/>
          <w:right w:w="70" w:type="dxa"/>
        </w:tblCellMar>
        <w:tblLook w:val="00A0"/>
      </w:tblPr>
      <w:tblGrid>
        <w:gridCol w:w="1757"/>
        <w:gridCol w:w="1599"/>
        <w:gridCol w:w="2204"/>
        <w:gridCol w:w="2106"/>
        <w:gridCol w:w="1546"/>
      </w:tblGrid>
      <w:tr w:rsidR="00AC5E54" w:rsidRPr="00B43266" w:rsidTr="00B57F35">
        <w:trPr>
          <w:trHeight w:val="855"/>
        </w:trPr>
        <w:tc>
          <w:tcPr>
            <w:tcW w:w="954" w:type="pct"/>
            <w:tcBorders>
              <w:top w:val="single" w:sz="4" w:space="0" w:color="auto"/>
              <w:left w:val="single" w:sz="4" w:space="0" w:color="auto"/>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SZÁMLA MEGNEVEZÉSE</w:t>
            </w:r>
          </w:p>
        </w:tc>
        <w:tc>
          <w:tcPr>
            <w:tcW w:w="868" w:type="pct"/>
            <w:tcBorders>
              <w:top w:val="single" w:sz="4" w:space="0" w:color="auto"/>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PÉNZINTÉZET NEVE</w:t>
            </w:r>
          </w:p>
        </w:tc>
        <w:tc>
          <w:tcPr>
            <w:tcW w:w="1196" w:type="pct"/>
            <w:tcBorders>
              <w:top w:val="single" w:sz="4" w:space="0" w:color="auto"/>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BANKSZÁMLASZÁM</w:t>
            </w:r>
          </w:p>
        </w:tc>
        <w:tc>
          <w:tcPr>
            <w:tcW w:w="1143" w:type="pct"/>
            <w:tcBorders>
              <w:top w:val="single" w:sz="4" w:space="0" w:color="auto"/>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IBAN SZÁM</w:t>
            </w:r>
          </w:p>
        </w:tc>
        <w:tc>
          <w:tcPr>
            <w:tcW w:w="839" w:type="pct"/>
            <w:tcBorders>
              <w:top w:val="single" w:sz="4" w:space="0" w:color="auto"/>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2010.05.14-i ZÁRÓ FT EGYENLEG</w:t>
            </w:r>
          </w:p>
        </w:tc>
      </w:tr>
      <w:tr w:rsidR="00AC5E54" w:rsidRPr="00B43266" w:rsidTr="00B57F35">
        <w:trPr>
          <w:trHeight w:val="495"/>
        </w:trPr>
        <w:tc>
          <w:tcPr>
            <w:tcW w:w="954" w:type="pct"/>
            <w:tcBorders>
              <w:top w:val="nil"/>
              <w:left w:val="single" w:sz="4" w:space="0" w:color="auto"/>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Folyószámla</w:t>
            </w:r>
          </w:p>
        </w:tc>
        <w:tc>
          <w:tcPr>
            <w:tcW w:w="868"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Magyar Államkincstár</w:t>
            </w:r>
          </w:p>
        </w:tc>
        <w:tc>
          <w:tcPr>
            <w:tcW w:w="1196"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10032000-01461769-00000000</w:t>
            </w:r>
          </w:p>
        </w:tc>
        <w:tc>
          <w:tcPr>
            <w:tcW w:w="1143"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HU94 1003 2000 0146 1769 0000 0000</w:t>
            </w:r>
          </w:p>
        </w:tc>
        <w:tc>
          <w:tcPr>
            <w:tcW w:w="839"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21 128 842</w:t>
            </w:r>
          </w:p>
        </w:tc>
      </w:tr>
      <w:tr w:rsidR="00AC5E54" w:rsidRPr="00B43266" w:rsidTr="00B57F35">
        <w:trPr>
          <w:trHeight w:val="495"/>
        </w:trPr>
        <w:tc>
          <w:tcPr>
            <w:tcW w:w="954" w:type="pct"/>
            <w:tcBorders>
              <w:top w:val="nil"/>
              <w:left w:val="single" w:sz="4" w:space="0" w:color="auto"/>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Beruházási számla</w:t>
            </w:r>
          </w:p>
        </w:tc>
        <w:tc>
          <w:tcPr>
            <w:tcW w:w="868"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Magyar Államkincstár</w:t>
            </w:r>
          </w:p>
        </w:tc>
        <w:tc>
          <w:tcPr>
            <w:tcW w:w="1196"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10032000-01461769-00030007</w:t>
            </w:r>
          </w:p>
        </w:tc>
        <w:tc>
          <w:tcPr>
            <w:tcW w:w="1143"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HU49 1003 2000 0146 1769 0003 0007</w:t>
            </w:r>
          </w:p>
        </w:tc>
        <w:tc>
          <w:tcPr>
            <w:tcW w:w="839"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0</w:t>
            </w:r>
          </w:p>
        </w:tc>
      </w:tr>
      <w:tr w:rsidR="00AC5E54" w:rsidRPr="00B43266" w:rsidTr="00B57F35">
        <w:trPr>
          <w:trHeight w:val="495"/>
        </w:trPr>
        <w:tc>
          <w:tcPr>
            <w:tcW w:w="954" w:type="pct"/>
            <w:tcBorders>
              <w:top w:val="nil"/>
              <w:left w:val="single" w:sz="4" w:space="0" w:color="auto"/>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LIMES program számlája</w:t>
            </w:r>
          </w:p>
        </w:tc>
        <w:tc>
          <w:tcPr>
            <w:tcW w:w="868"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Magyar Államkincstár</w:t>
            </w:r>
          </w:p>
        </w:tc>
        <w:tc>
          <w:tcPr>
            <w:tcW w:w="1196"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10004885-10002010-00211437</w:t>
            </w:r>
          </w:p>
        </w:tc>
        <w:tc>
          <w:tcPr>
            <w:tcW w:w="1143"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HU51 1000 4885 1000 2010 0021 1437</w:t>
            </w:r>
          </w:p>
        </w:tc>
        <w:tc>
          <w:tcPr>
            <w:tcW w:w="839"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0</w:t>
            </w:r>
          </w:p>
        </w:tc>
      </w:tr>
      <w:tr w:rsidR="00AC5E54" w:rsidRPr="00B43266" w:rsidTr="00B57F35">
        <w:trPr>
          <w:trHeight w:val="495"/>
        </w:trPr>
        <w:tc>
          <w:tcPr>
            <w:tcW w:w="954" w:type="pct"/>
            <w:tcBorders>
              <w:top w:val="nil"/>
              <w:left w:val="single" w:sz="4" w:space="0" w:color="auto"/>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ACE program számlája</w:t>
            </w:r>
          </w:p>
        </w:tc>
        <w:tc>
          <w:tcPr>
            <w:tcW w:w="868"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Magyar Államkincstár</w:t>
            </w:r>
          </w:p>
        </w:tc>
        <w:tc>
          <w:tcPr>
            <w:tcW w:w="1196"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10004885-10002010-00311434</w:t>
            </w:r>
          </w:p>
        </w:tc>
        <w:tc>
          <w:tcPr>
            <w:tcW w:w="1143"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HU30 1000 4885 1000 2010 0031 1434</w:t>
            </w:r>
          </w:p>
        </w:tc>
        <w:tc>
          <w:tcPr>
            <w:tcW w:w="839"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0</w:t>
            </w:r>
          </w:p>
        </w:tc>
      </w:tr>
      <w:tr w:rsidR="00AC5E54" w:rsidRPr="00B43266" w:rsidTr="00B57F35">
        <w:trPr>
          <w:trHeight w:val="495"/>
        </w:trPr>
        <w:tc>
          <w:tcPr>
            <w:tcW w:w="4161" w:type="pct"/>
            <w:gridSpan w:val="4"/>
            <w:tcBorders>
              <w:top w:val="single" w:sz="4" w:space="0" w:color="auto"/>
              <w:left w:val="single" w:sz="4" w:space="0" w:color="auto"/>
              <w:bottom w:val="single" w:sz="4" w:space="0" w:color="auto"/>
              <w:right w:val="single" w:sz="4" w:space="0" w:color="000000"/>
            </w:tcBorders>
            <w:vAlign w:val="center"/>
          </w:tcPr>
          <w:p w:rsidR="00AC5E54" w:rsidRPr="009E7BFF" w:rsidRDefault="00AC5E54" w:rsidP="009E7BFF">
            <w:pPr>
              <w:spacing w:after="0" w:line="240" w:lineRule="auto"/>
              <w:jc w:val="center"/>
              <w:rPr>
                <w:rFonts w:ascii="Times New Roman" w:hAnsi="Times New Roman"/>
                <w:b/>
                <w:bCs/>
                <w:sz w:val="20"/>
                <w:szCs w:val="20"/>
                <w:lang w:eastAsia="hu-HU"/>
              </w:rPr>
            </w:pPr>
            <w:r w:rsidRPr="009E7BFF">
              <w:rPr>
                <w:rFonts w:ascii="Times New Roman" w:hAnsi="Times New Roman"/>
                <w:b/>
                <w:bCs/>
                <w:sz w:val="20"/>
                <w:szCs w:val="20"/>
                <w:lang w:eastAsia="hu-HU"/>
              </w:rPr>
              <w:t>Forint pénztár</w:t>
            </w:r>
          </w:p>
        </w:tc>
        <w:tc>
          <w:tcPr>
            <w:tcW w:w="839" w:type="pct"/>
            <w:tcBorders>
              <w:top w:val="nil"/>
              <w:left w:val="nil"/>
              <w:bottom w:val="single" w:sz="4" w:space="0" w:color="auto"/>
              <w:right w:val="single" w:sz="4" w:space="0" w:color="auto"/>
            </w:tcBorders>
            <w:vAlign w:val="center"/>
          </w:tcPr>
          <w:p w:rsidR="00AC5E54" w:rsidRPr="009E7BFF" w:rsidRDefault="00AC5E54" w:rsidP="009E7BFF">
            <w:pPr>
              <w:spacing w:after="0" w:line="240" w:lineRule="auto"/>
              <w:jc w:val="right"/>
              <w:rPr>
                <w:rFonts w:ascii="Times New Roman" w:hAnsi="Times New Roman"/>
                <w:sz w:val="20"/>
                <w:szCs w:val="20"/>
                <w:lang w:eastAsia="hu-HU"/>
              </w:rPr>
            </w:pPr>
            <w:r w:rsidRPr="009E7BFF">
              <w:rPr>
                <w:rFonts w:ascii="Times New Roman" w:hAnsi="Times New Roman"/>
                <w:sz w:val="20"/>
                <w:szCs w:val="20"/>
                <w:lang w:eastAsia="hu-HU"/>
              </w:rPr>
              <w:t>316 720</w:t>
            </w:r>
          </w:p>
        </w:tc>
      </w:tr>
    </w:tbl>
    <w:p w:rsidR="00AC5E54" w:rsidRPr="00B57F35" w:rsidRDefault="00AC5E54">
      <w:pPr>
        <w:rPr>
          <w:sz w:val="20"/>
          <w:szCs w:val="20"/>
        </w:rPr>
      </w:pPr>
    </w:p>
    <w:tbl>
      <w:tblPr>
        <w:tblW w:w="12040" w:type="dxa"/>
        <w:tblInd w:w="53" w:type="dxa"/>
        <w:tblCellMar>
          <w:left w:w="70" w:type="dxa"/>
          <w:right w:w="70" w:type="dxa"/>
        </w:tblCellMar>
        <w:tblLook w:val="00A0"/>
      </w:tblPr>
      <w:tblGrid>
        <w:gridCol w:w="620"/>
        <w:gridCol w:w="4840"/>
        <w:gridCol w:w="1960"/>
        <w:gridCol w:w="1620"/>
        <w:gridCol w:w="1540"/>
        <w:gridCol w:w="1460"/>
      </w:tblGrid>
      <w:tr w:rsidR="00AC5E54" w:rsidRPr="00B43266" w:rsidTr="009E7BFF">
        <w:trPr>
          <w:trHeight w:val="600"/>
        </w:trPr>
        <w:tc>
          <w:tcPr>
            <w:tcW w:w="620" w:type="dxa"/>
            <w:tcBorders>
              <w:top w:val="nil"/>
              <w:left w:val="nil"/>
              <w:bottom w:val="nil"/>
              <w:right w:val="nil"/>
            </w:tcBorders>
            <w:noWrap/>
            <w:vAlign w:val="bottom"/>
          </w:tcPr>
          <w:p w:rsidR="00AC5E54" w:rsidRPr="009E7BFF" w:rsidRDefault="00AC5E54" w:rsidP="009E7BFF">
            <w:pPr>
              <w:spacing w:after="0" w:line="240" w:lineRule="auto"/>
              <w:jc w:val="center"/>
              <w:rPr>
                <w:rFonts w:ascii="Times New Roman" w:hAnsi="Times New Roman"/>
                <w:sz w:val="20"/>
                <w:szCs w:val="20"/>
                <w:lang w:eastAsia="hu-HU"/>
              </w:rPr>
            </w:pPr>
            <w:r w:rsidRPr="009E7BFF">
              <w:rPr>
                <w:rFonts w:ascii="Times New Roman" w:hAnsi="Times New Roman"/>
                <w:sz w:val="20"/>
                <w:szCs w:val="20"/>
                <w:lang w:eastAsia="hu-HU"/>
              </w:rPr>
              <w:t>5.</w:t>
            </w:r>
          </w:p>
        </w:tc>
        <w:tc>
          <w:tcPr>
            <w:tcW w:w="48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r w:rsidRPr="009E7BFF">
              <w:rPr>
                <w:rFonts w:ascii="Times New Roman" w:hAnsi="Times New Roman"/>
                <w:sz w:val="20"/>
                <w:szCs w:val="20"/>
                <w:lang w:eastAsia="hu-HU"/>
              </w:rPr>
              <w:t xml:space="preserve">Az intézmény vagyoni helyzete (millió forint) </w:t>
            </w:r>
          </w:p>
        </w:tc>
        <w:tc>
          <w:tcPr>
            <w:tcW w:w="19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62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54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c>
          <w:tcPr>
            <w:tcW w:w="1460" w:type="dxa"/>
            <w:tcBorders>
              <w:top w:val="nil"/>
              <w:left w:val="nil"/>
              <w:bottom w:val="nil"/>
              <w:right w:val="nil"/>
            </w:tcBorders>
            <w:noWrap/>
            <w:vAlign w:val="bottom"/>
          </w:tcPr>
          <w:p w:rsidR="00AC5E54" w:rsidRPr="009E7BFF" w:rsidRDefault="00AC5E54" w:rsidP="009E7BFF">
            <w:pPr>
              <w:spacing w:after="0" w:line="240" w:lineRule="auto"/>
              <w:rPr>
                <w:rFonts w:ascii="Times New Roman" w:hAnsi="Times New Roman"/>
                <w:sz w:val="20"/>
                <w:szCs w:val="20"/>
                <w:lang w:eastAsia="hu-HU"/>
              </w:rPr>
            </w:pPr>
          </w:p>
        </w:tc>
      </w:tr>
    </w:tbl>
    <w:p w:rsidR="00AC5E54" w:rsidRPr="00B57F35" w:rsidRDefault="00AC5E54">
      <w:pPr>
        <w:rPr>
          <w:sz w:val="20"/>
          <w:szCs w:val="20"/>
        </w:rPr>
      </w:pPr>
    </w:p>
    <w:tbl>
      <w:tblPr>
        <w:tblW w:w="9000" w:type="dxa"/>
        <w:tblInd w:w="53" w:type="dxa"/>
        <w:tblCellMar>
          <w:left w:w="70" w:type="dxa"/>
          <w:right w:w="70" w:type="dxa"/>
        </w:tblCellMar>
        <w:tblLook w:val="00A0"/>
      </w:tblPr>
      <w:tblGrid>
        <w:gridCol w:w="1840"/>
        <w:gridCol w:w="2051"/>
        <w:gridCol w:w="1960"/>
        <w:gridCol w:w="1614"/>
        <w:gridCol w:w="1535"/>
      </w:tblGrid>
      <w:tr w:rsidR="00AC5E54" w:rsidRPr="00B43266" w:rsidTr="00B57F35">
        <w:trPr>
          <w:trHeight w:val="510"/>
        </w:trPr>
        <w:tc>
          <w:tcPr>
            <w:tcW w:w="1840" w:type="dxa"/>
            <w:tcBorders>
              <w:top w:val="single" w:sz="4" w:space="0" w:color="auto"/>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2051" w:type="dxa"/>
            <w:tcBorders>
              <w:top w:val="single" w:sz="4" w:space="0" w:color="auto"/>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960" w:type="dxa"/>
            <w:tcBorders>
              <w:top w:val="single" w:sz="4" w:space="0" w:color="auto"/>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single" w:sz="4" w:space="0" w:color="auto"/>
              <w:left w:val="single" w:sz="4" w:space="0" w:color="auto"/>
              <w:bottom w:val="single" w:sz="4" w:space="0" w:color="auto"/>
              <w:right w:val="single" w:sz="4" w:space="0" w:color="auto"/>
            </w:tcBorders>
            <w:vAlign w:val="bottom"/>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Bruttó </w:t>
            </w:r>
            <w:r w:rsidRPr="00B57F35">
              <w:rPr>
                <w:rFonts w:ascii="Times New Roman" w:hAnsi="Times New Roman"/>
                <w:sz w:val="20"/>
                <w:szCs w:val="20"/>
                <w:lang w:eastAsia="hu-HU"/>
              </w:rPr>
              <w:br/>
              <w:t>érték</w:t>
            </w:r>
          </w:p>
        </w:tc>
        <w:tc>
          <w:tcPr>
            <w:tcW w:w="1535" w:type="dxa"/>
            <w:tcBorders>
              <w:top w:val="single" w:sz="4" w:space="0" w:color="auto"/>
              <w:left w:val="nil"/>
              <w:bottom w:val="single" w:sz="4" w:space="0" w:color="auto"/>
              <w:right w:val="single" w:sz="4" w:space="0" w:color="auto"/>
            </w:tcBorders>
            <w:vAlign w:val="bottom"/>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Nettó </w:t>
            </w:r>
            <w:r w:rsidRPr="00B57F35">
              <w:rPr>
                <w:rFonts w:ascii="Times New Roman" w:hAnsi="Times New Roman"/>
                <w:sz w:val="20"/>
                <w:szCs w:val="20"/>
                <w:lang w:eastAsia="hu-HU"/>
              </w:rPr>
              <w:br/>
              <w:t>érték</w:t>
            </w:r>
          </w:p>
        </w:tc>
      </w:tr>
      <w:tr w:rsidR="00AC5E54" w:rsidRPr="00B43266" w:rsidTr="00B57F35">
        <w:trPr>
          <w:trHeight w:val="255"/>
        </w:trPr>
        <w:tc>
          <w:tcPr>
            <w:tcW w:w="3891" w:type="dxa"/>
            <w:gridSpan w:val="2"/>
            <w:tcBorders>
              <w:top w:val="single" w:sz="4" w:space="0" w:color="auto"/>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Tárgyieszköz állomány 2009. 12. 31-ei állapot</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2 684</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1 307</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ebből:</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vagyonkezelt ingatlan</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1 193</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1 125</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saját tulajdonú ingatlan</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r>
      <w:tr w:rsidR="00AC5E54" w:rsidRPr="00B43266" w:rsidTr="00B57F35">
        <w:trPr>
          <w:trHeight w:val="255"/>
        </w:trPr>
        <w:tc>
          <w:tcPr>
            <w:tcW w:w="5851" w:type="dxa"/>
            <w:gridSpan w:val="3"/>
            <w:tcBorders>
              <w:top w:val="single" w:sz="4" w:space="0" w:color="auto"/>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Tárgyi eszköz állomány 2010. május 14-ei állapot</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2 648</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1 298</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ebből:</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vagyonkezelt ingatlan</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1 235</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1 167</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saját tulajdonú ingatlan</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r>
      <w:tr w:rsidR="00AC5E54" w:rsidRPr="00B43266" w:rsidTr="00B57F35">
        <w:trPr>
          <w:trHeight w:val="540"/>
        </w:trPr>
        <w:tc>
          <w:tcPr>
            <w:tcW w:w="5851" w:type="dxa"/>
            <w:gridSpan w:val="3"/>
            <w:tcBorders>
              <w:top w:val="single" w:sz="4" w:space="0" w:color="auto"/>
              <w:left w:val="single" w:sz="4" w:space="0" w:color="auto"/>
              <w:bottom w:val="single" w:sz="4" w:space="0" w:color="auto"/>
              <w:right w:val="single" w:sz="4" w:space="0" w:color="000000"/>
            </w:tcBorders>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Bérelt, használatba vett  ingatlan állomány 2010. május 14-ei állapot (2010.évi ingatlan bérbevétel kötelezettségvállalás állománya)</w:t>
            </w:r>
          </w:p>
        </w:tc>
        <w:tc>
          <w:tcPr>
            <w:tcW w:w="1614" w:type="dxa"/>
            <w:tcBorders>
              <w:top w:val="nil"/>
              <w:left w:val="nil"/>
              <w:bottom w:val="single" w:sz="4" w:space="0" w:color="auto"/>
              <w:right w:val="single" w:sz="4" w:space="0" w:color="auto"/>
            </w:tcBorders>
            <w:vAlign w:val="center"/>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120</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r w:rsidR="00AC5E54" w:rsidRPr="00B43266" w:rsidTr="00B57F35">
        <w:trPr>
          <w:trHeight w:val="255"/>
        </w:trPr>
        <w:tc>
          <w:tcPr>
            <w:tcW w:w="3891" w:type="dxa"/>
            <w:gridSpan w:val="2"/>
            <w:tcBorders>
              <w:top w:val="single" w:sz="4" w:space="0" w:color="auto"/>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PPP ingatlan beruházás értéke</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ebből:</w:t>
            </w:r>
          </w:p>
        </w:tc>
        <w:tc>
          <w:tcPr>
            <w:tcW w:w="4011" w:type="dxa"/>
            <w:gridSpan w:val="2"/>
            <w:tcBorders>
              <w:top w:val="single" w:sz="4" w:space="0" w:color="auto"/>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2010. január 1-jén működő</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2010-ben belépő</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A PPP ingatlanból</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4011" w:type="dxa"/>
            <w:gridSpan w:val="2"/>
            <w:tcBorders>
              <w:top w:val="single" w:sz="4" w:space="0" w:color="auto"/>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oktatási, kutatási, igazgatási épület</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új kollégium</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kollégiumi rekonstrukció</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w:t>
            </w:r>
          </w:p>
        </w:tc>
      </w:tr>
      <w:tr w:rsidR="00AC5E54" w:rsidRPr="00B43266" w:rsidTr="00B57F35">
        <w:trPr>
          <w:trHeight w:val="255"/>
        </w:trPr>
        <w:tc>
          <w:tcPr>
            <w:tcW w:w="3891" w:type="dxa"/>
            <w:gridSpan w:val="2"/>
            <w:tcBorders>
              <w:top w:val="single" w:sz="4" w:space="0" w:color="auto"/>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xml:space="preserve">2010. évi PPP fizetési kötelezettség </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ebből:</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intézményt terhelő</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r w:rsidR="00AC5E54" w:rsidRPr="00B43266" w:rsidTr="00B57F35">
        <w:trPr>
          <w:trHeight w:val="255"/>
        </w:trPr>
        <w:tc>
          <w:tcPr>
            <w:tcW w:w="1840" w:type="dxa"/>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2051"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OKM-et terhelő</w:t>
            </w:r>
          </w:p>
        </w:tc>
        <w:tc>
          <w:tcPr>
            <w:tcW w:w="1960" w:type="dxa"/>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14" w:type="dxa"/>
            <w:tcBorders>
              <w:top w:val="nil"/>
              <w:left w:val="single" w:sz="4" w:space="0" w:color="auto"/>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1535" w:type="dxa"/>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  -</w:t>
            </w:r>
          </w:p>
        </w:tc>
      </w:tr>
    </w:tbl>
    <w:p w:rsidR="00AC5E54" w:rsidRPr="00B57F35" w:rsidRDefault="00AC5E54">
      <w:pPr>
        <w:rPr>
          <w:sz w:val="20"/>
          <w:szCs w:val="20"/>
        </w:rPr>
      </w:pPr>
    </w:p>
    <w:p w:rsidR="00AC5E54" w:rsidRDefault="00AC5E54">
      <w:pPr>
        <w:rPr>
          <w:sz w:val="20"/>
          <w:szCs w:val="20"/>
        </w:rPr>
      </w:pPr>
    </w:p>
    <w:p w:rsidR="00AC5E54" w:rsidRDefault="00AC5E54">
      <w:pPr>
        <w:rPr>
          <w:sz w:val="20"/>
          <w:szCs w:val="20"/>
        </w:rPr>
      </w:pPr>
    </w:p>
    <w:p w:rsidR="00AC5E54" w:rsidRDefault="00AC5E54">
      <w:pPr>
        <w:rPr>
          <w:sz w:val="20"/>
          <w:szCs w:val="20"/>
        </w:rPr>
      </w:pPr>
    </w:p>
    <w:tbl>
      <w:tblPr>
        <w:tblW w:w="12040" w:type="dxa"/>
        <w:tblInd w:w="53" w:type="dxa"/>
        <w:tblCellMar>
          <w:left w:w="70" w:type="dxa"/>
          <w:right w:w="70" w:type="dxa"/>
        </w:tblCellMar>
        <w:tblLook w:val="00A0"/>
      </w:tblPr>
      <w:tblGrid>
        <w:gridCol w:w="620"/>
        <w:gridCol w:w="2800"/>
        <w:gridCol w:w="2040"/>
        <w:gridCol w:w="1960"/>
        <w:gridCol w:w="1620"/>
        <w:gridCol w:w="1540"/>
        <w:gridCol w:w="1460"/>
      </w:tblGrid>
      <w:tr w:rsidR="00AC5E54" w:rsidRPr="00B43266" w:rsidTr="00B57F35">
        <w:trPr>
          <w:trHeight w:val="525"/>
        </w:trPr>
        <w:tc>
          <w:tcPr>
            <w:tcW w:w="620" w:type="dxa"/>
            <w:tcBorders>
              <w:top w:val="nil"/>
              <w:left w:val="nil"/>
              <w:bottom w:val="nil"/>
              <w:right w:val="nil"/>
            </w:tcBorders>
            <w:noWrap/>
            <w:vAlign w:val="bottom"/>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6.</w:t>
            </w:r>
          </w:p>
        </w:tc>
        <w:tc>
          <w:tcPr>
            <w:tcW w:w="2800" w:type="dxa"/>
            <w:tcBorders>
              <w:top w:val="nil"/>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Személyi állomány (fő)</w:t>
            </w:r>
          </w:p>
        </w:tc>
        <w:tc>
          <w:tcPr>
            <w:tcW w:w="2040" w:type="dxa"/>
            <w:tcBorders>
              <w:top w:val="nil"/>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p>
        </w:tc>
        <w:tc>
          <w:tcPr>
            <w:tcW w:w="1960" w:type="dxa"/>
            <w:tcBorders>
              <w:top w:val="nil"/>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p>
        </w:tc>
        <w:tc>
          <w:tcPr>
            <w:tcW w:w="1620" w:type="dxa"/>
            <w:tcBorders>
              <w:top w:val="nil"/>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p>
        </w:tc>
        <w:tc>
          <w:tcPr>
            <w:tcW w:w="1540" w:type="dxa"/>
            <w:tcBorders>
              <w:top w:val="nil"/>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p>
        </w:tc>
        <w:tc>
          <w:tcPr>
            <w:tcW w:w="1460" w:type="dxa"/>
            <w:tcBorders>
              <w:top w:val="nil"/>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p>
        </w:tc>
      </w:tr>
    </w:tbl>
    <w:p w:rsidR="00AC5E54" w:rsidRPr="00B57F35" w:rsidRDefault="00AC5E54">
      <w:pPr>
        <w:rPr>
          <w:sz w:val="20"/>
          <w:szCs w:val="20"/>
        </w:rPr>
      </w:pPr>
    </w:p>
    <w:tbl>
      <w:tblPr>
        <w:tblW w:w="5000" w:type="pct"/>
        <w:tblCellMar>
          <w:left w:w="70" w:type="dxa"/>
          <w:right w:w="70" w:type="dxa"/>
        </w:tblCellMar>
        <w:tblLook w:val="00A0"/>
      </w:tblPr>
      <w:tblGrid>
        <w:gridCol w:w="777"/>
        <w:gridCol w:w="1492"/>
        <w:gridCol w:w="1653"/>
        <w:gridCol w:w="1576"/>
        <w:gridCol w:w="1301"/>
        <w:gridCol w:w="1238"/>
        <w:gridCol w:w="1175"/>
      </w:tblGrid>
      <w:tr w:rsidR="00AC5E54" w:rsidRPr="00B43266" w:rsidTr="00B57F35">
        <w:trPr>
          <w:trHeight w:val="255"/>
        </w:trPr>
        <w:tc>
          <w:tcPr>
            <w:tcW w:w="420" w:type="pct"/>
            <w:tcBorders>
              <w:top w:val="single" w:sz="4" w:space="0" w:color="auto"/>
              <w:left w:val="single" w:sz="4" w:space="0" w:color="auto"/>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06" w:type="pct"/>
            <w:tcBorders>
              <w:top w:val="single" w:sz="4" w:space="0" w:color="auto"/>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93" w:type="pct"/>
            <w:tcBorders>
              <w:top w:val="single" w:sz="4" w:space="0" w:color="auto"/>
              <w:left w:val="nil"/>
              <w:bottom w:val="nil"/>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58" w:type="pct"/>
            <w:vMerge w:val="restart"/>
            <w:tcBorders>
              <w:top w:val="single" w:sz="4" w:space="0" w:color="auto"/>
              <w:left w:val="single" w:sz="4" w:space="0" w:color="auto"/>
              <w:bottom w:val="single" w:sz="4" w:space="0" w:color="auto"/>
              <w:right w:val="single" w:sz="4" w:space="0" w:color="auto"/>
            </w:tcBorders>
            <w:vAlign w:val="bottom"/>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2010. évi engedélyezett létszám</w:t>
            </w:r>
          </w:p>
        </w:tc>
        <w:tc>
          <w:tcPr>
            <w:tcW w:w="2023" w:type="pct"/>
            <w:gridSpan w:val="3"/>
            <w:tcBorders>
              <w:top w:val="single" w:sz="4" w:space="0" w:color="auto"/>
              <w:left w:val="nil"/>
              <w:bottom w:val="single" w:sz="4" w:space="0" w:color="auto"/>
              <w:right w:val="single" w:sz="4" w:space="0" w:color="000000"/>
            </w:tcBorders>
            <w:vAlign w:val="bottom"/>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2010. május 14-ei átlagos statisztikai állományi létszám</w:t>
            </w:r>
          </w:p>
        </w:tc>
      </w:tr>
      <w:tr w:rsidR="00AC5E54" w:rsidRPr="00B43266" w:rsidTr="00B57F35">
        <w:trPr>
          <w:trHeight w:val="510"/>
        </w:trPr>
        <w:tc>
          <w:tcPr>
            <w:tcW w:w="42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06" w:type="pct"/>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93"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58" w:type="pct"/>
            <w:vMerge/>
            <w:tcBorders>
              <w:top w:val="single" w:sz="4" w:space="0" w:color="auto"/>
              <w:left w:val="single" w:sz="4" w:space="0" w:color="auto"/>
              <w:bottom w:val="single" w:sz="4" w:space="0" w:color="auto"/>
              <w:right w:val="single" w:sz="4" w:space="0" w:color="auto"/>
            </w:tcBorders>
            <w:vAlign w:val="center"/>
          </w:tcPr>
          <w:p w:rsidR="00AC5E54" w:rsidRPr="00B57F35" w:rsidRDefault="00AC5E54" w:rsidP="00B57F35">
            <w:pPr>
              <w:spacing w:after="0" w:line="240" w:lineRule="auto"/>
              <w:rPr>
                <w:rFonts w:ascii="Times New Roman" w:hAnsi="Times New Roman"/>
                <w:sz w:val="20"/>
                <w:szCs w:val="20"/>
                <w:lang w:eastAsia="hu-HU"/>
              </w:rPr>
            </w:pPr>
          </w:p>
        </w:tc>
        <w:tc>
          <w:tcPr>
            <w:tcW w:w="709" w:type="pct"/>
            <w:tcBorders>
              <w:top w:val="nil"/>
              <w:left w:val="nil"/>
              <w:bottom w:val="single" w:sz="4" w:space="0" w:color="auto"/>
              <w:right w:val="single" w:sz="4" w:space="0" w:color="auto"/>
            </w:tcBorders>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Teljes</w:t>
            </w:r>
            <w:r w:rsidRPr="00B57F35">
              <w:rPr>
                <w:rFonts w:ascii="Times New Roman" w:hAnsi="Times New Roman"/>
                <w:sz w:val="20"/>
                <w:szCs w:val="20"/>
                <w:lang w:eastAsia="hu-HU"/>
              </w:rPr>
              <w:br/>
              <w:t>munkaidős</w:t>
            </w:r>
          </w:p>
        </w:tc>
        <w:tc>
          <w:tcPr>
            <w:tcW w:w="674" w:type="pct"/>
            <w:tcBorders>
              <w:top w:val="nil"/>
              <w:left w:val="nil"/>
              <w:bottom w:val="single" w:sz="4" w:space="0" w:color="auto"/>
              <w:right w:val="single" w:sz="4" w:space="0" w:color="auto"/>
            </w:tcBorders>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Rész</w:t>
            </w:r>
            <w:r w:rsidRPr="00B57F35">
              <w:rPr>
                <w:rFonts w:ascii="Times New Roman" w:hAnsi="Times New Roman"/>
                <w:sz w:val="20"/>
                <w:szCs w:val="20"/>
                <w:lang w:eastAsia="hu-HU"/>
              </w:rPr>
              <w:br/>
              <w:t>munkaidős</w:t>
            </w:r>
          </w:p>
        </w:tc>
        <w:tc>
          <w:tcPr>
            <w:tcW w:w="639" w:type="pct"/>
            <w:tcBorders>
              <w:top w:val="nil"/>
              <w:left w:val="nil"/>
              <w:bottom w:val="single" w:sz="4" w:space="0" w:color="auto"/>
              <w:right w:val="single" w:sz="4" w:space="0" w:color="auto"/>
            </w:tcBorders>
            <w:noWrap/>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Összesen</w:t>
            </w:r>
          </w:p>
        </w:tc>
      </w:tr>
      <w:tr w:rsidR="00AC5E54" w:rsidRPr="00B43266" w:rsidTr="00B57F35">
        <w:trPr>
          <w:trHeight w:val="255"/>
        </w:trPr>
        <w:tc>
          <w:tcPr>
            <w:tcW w:w="1226" w:type="pct"/>
            <w:gridSpan w:val="2"/>
            <w:tcBorders>
              <w:top w:val="single" w:sz="4" w:space="0" w:color="auto"/>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Köztisztviselők</w:t>
            </w:r>
          </w:p>
        </w:tc>
        <w:tc>
          <w:tcPr>
            <w:tcW w:w="893"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317</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298</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1</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299</w:t>
            </w:r>
          </w:p>
        </w:tc>
      </w:tr>
      <w:tr w:rsidR="00AC5E54" w:rsidRPr="00B43266" w:rsidTr="00B57F35">
        <w:trPr>
          <w:trHeight w:val="255"/>
        </w:trPr>
        <w:tc>
          <w:tcPr>
            <w:tcW w:w="1226" w:type="pct"/>
            <w:gridSpan w:val="2"/>
            <w:tcBorders>
              <w:top w:val="single" w:sz="4" w:space="0" w:color="auto"/>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Közalkalmazottak</w:t>
            </w:r>
          </w:p>
        </w:tc>
        <w:tc>
          <w:tcPr>
            <w:tcW w:w="893"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r>
      <w:tr w:rsidR="00AC5E54" w:rsidRPr="00B43266" w:rsidTr="00B57F35">
        <w:trPr>
          <w:trHeight w:val="255"/>
        </w:trPr>
        <w:tc>
          <w:tcPr>
            <w:tcW w:w="2119" w:type="pct"/>
            <w:gridSpan w:val="3"/>
            <w:tcBorders>
              <w:top w:val="single" w:sz="4" w:space="0" w:color="auto"/>
              <w:left w:val="single" w:sz="4" w:space="0" w:color="auto"/>
              <w:bottom w:val="single" w:sz="4" w:space="0" w:color="auto"/>
              <w:right w:val="single" w:sz="4" w:space="0" w:color="000000"/>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Egyéb munkaviszonyban foglalkoztatottak</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4</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9</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9</w:t>
            </w:r>
          </w:p>
        </w:tc>
      </w:tr>
      <w:tr w:rsidR="00AC5E54" w:rsidRPr="00B43266" w:rsidTr="00B57F35">
        <w:trPr>
          <w:trHeight w:val="255"/>
        </w:trPr>
        <w:tc>
          <w:tcPr>
            <w:tcW w:w="42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06" w:type="pct"/>
            <w:tcBorders>
              <w:top w:val="nil"/>
              <w:left w:val="nil"/>
              <w:bottom w:val="single" w:sz="4" w:space="0" w:color="auto"/>
              <w:right w:val="nil"/>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Összesen:</w:t>
            </w:r>
          </w:p>
        </w:tc>
        <w:tc>
          <w:tcPr>
            <w:tcW w:w="893"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 </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321</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307</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1</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308</w:t>
            </w:r>
          </w:p>
        </w:tc>
      </w:tr>
      <w:tr w:rsidR="00AC5E54" w:rsidRPr="00B43266" w:rsidTr="00B57F35">
        <w:trPr>
          <w:trHeight w:val="255"/>
        </w:trPr>
        <w:tc>
          <w:tcPr>
            <w:tcW w:w="42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ebből:</w:t>
            </w:r>
          </w:p>
        </w:tc>
        <w:tc>
          <w:tcPr>
            <w:tcW w:w="806" w:type="pct"/>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vezetők</w:t>
            </w:r>
          </w:p>
        </w:tc>
        <w:tc>
          <w:tcPr>
            <w:tcW w:w="893"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 </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44</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39</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39</w:t>
            </w:r>
          </w:p>
        </w:tc>
      </w:tr>
      <w:tr w:rsidR="00AC5E54" w:rsidRPr="00B43266" w:rsidTr="00B57F35">
        <w:trPr>
          <w:trHeight w:val="255"/>
        </w:trPr>
        <w:tc>
          <w:tcPr>
            <w:tcW w:w="42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06" w:type="pct"/>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oktatók</w:t>
            </w:r>
          </w:p>
        </w:tc>
        <w:tc>
          <w:tcPr>
            <w:tcW w:w="893"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r>
      <w:tr w:rsidR="00AC5E54" w:rsidRPr="00B43266" w:rsidTr="00B57F35">
        <w:trPr>
          <w:trHeight w:val="255"/>
        </w:trPr>
        <w:tc>
          <w:tcPr>
            <w:tcW w:w="42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06" w:type="pct"/>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kutatók</w:t>
            </w:r>
          </w:p>
        </w:tc>
        <w:tc>
          <w:tcPr>
            <w:tcW w:w="893"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22</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22</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22</w:t>
            </w:r>
          </w:p>
        </w:tc>
      </w:tr>
      <w:tr w:rsidR="00AC5E54" w:rsidRPr="00B43266" w:rsidTr="00B57F35">
        <w:trPr>
          <w:trHeight w:val="255"/>
        </w:trPr>
        <w:tc>
          <w:tcPr>
            <w:tcW w:w="42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99" w:type="pct"/>
            <w:gridSpan w:val="2"/>
            <w:tcBorders>
              <w:top w:val="single" w:sz="4" w:space="0" w:color="auto"/>
              <w:left w:val="nil"/>
              <w:bottom w:val="single" w:sz="4" w:space="0" w:color="auto"/>
              <w:right w:val="single" w:sz="4" w:space="0" w:color="000000"/>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egészségügyi (OEP) alkalmazottak</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r>
      <w:tr w:rsidR="00AC5E54" w:rsidRPr="00B43266" w:rsidTr="00B57F35">
        <w:trPr>
          <w:trHeight w:val="255"/>
        </w:trPr>
        <w:tc>
          <w:tcPr>
            <w:tcW w:w="42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99" w:type="pct"/>
            <w:gridSpan w:val="2"/>
            <w:tcBorders>
              <w:top w:val="single" w:sz="4" w:space="0" w:color="auto"/>
              <w:left w:val="nil"/>
              <w:bottom w:val="single" w:sz="4" w:space="0" w:color="auto"/>
              <w:right w:val="single" w:sz="4" w:space="0" w:color="000000"/>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pedagógusok (gyakorlóiskolai)</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r>
      <w:tr w:rsidR="00AC5E54" w:rsidRPr="00B43266" w:rsidTr="00B57F35">
        <w:trPr>
          <w:trHeight w:val="255"/>
        </w:trPr>
        <w:tc>
          <w:tcPr>
            <w:tcW w:w="42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99" w:type="pct"/>
            <w:gridSpan w:val="2"/>
            <w:tcBorders>
              <w:top w:val="single" w:sz="4" w:space="0" w:color="auto"/>
              <w:left w:val="nil"/>
              <w:bottom w:val="single" w:sz="4" w:space="0" w:color="auto"/>
              <w:right w:val="single" w:sz="4" w:space="0" w:color="000000"/>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egyéb szellemi foglalkoztatottak</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r>
      <w:tr w:rsidR="00AC5E54" w:rsidRPr="00B43266" w:rsidTr="00B57F35">
        <w:trPr>
          <w:trHeight w:val="255"/>
        </w:trPr>
        <w:tc>
          <w:tcPr>
            <w:tcW w:w="42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1699" w:type="pct"/>
            <w:gridSpan w:val="2"/>
            <w:tcBorders>
              <w:top w:val="single" w:sz="4" w:space="0" w:color="auto"/>
              <w:left w:val="nil"/>
              <w:bottom w:val="single" w:sz="4" w:space="0" w:color="auto"/>
              <w:right w:val="single" w:sz="4" w:space="0" w:color="000000"/>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egyéb fizikai foglalkoztatottak</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4</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4</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4</w:t>
            </w:r>
          </w:p>
        </w:tc>
      </w:tr>
      <w:tr w:rsidR="00AC5E54" w:rsidRPr="00B43266" w:rsidTr="00B57F35">
        <w:trPr>
          <w:trHeight w:val="255"/>
        </w:trPr>
        <w:tc>
          <w:tcPr>
            <w:tcW w:w="2119" w:type="pct"/>
            <w:gridSpan w:val="3"/>
            <w:tcBorders>
              <w:top w:val="single" w:sz="4" w:space="0" w:color="auto"/>
              <w:left w:val="single" w:sz="4" w:space="0" w:color="auto"/>
              <w:bottom w:val="single" w:sz="4" w:space="0" w:color="auto"/>
              <w:right w:val="single" w:sz="4" w:space="0" w:color="000000"/>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Megbízási szerződéssel foglalkozatottak száma</w:t>
            </w:r>
          </w:p>
        </w:tc>
        <w:tc>
          <w:tcPr>
            <w:tcW w:w="85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70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6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w:t>
            </w:r>
          </w:p>
        </w:tc>
        <w:tc>
          <w:tcPr>
            <w:tcW w:w="639"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jc w:val="right"/>
              <w:rPr>
                <w:rFonts w:ascii="Times New Roman" w:hAnsi="Times New Roman"/>
                <w:sz w:val="20"/>
                <w:szCs w:val="20"/>
                <w:lang w:eastAsia="hu-HU"/>
              </w:rPr>
            </w:pPr>
            <w:r w:rsidRPr="00B57F35">
              <w:rPr>
                <w:rFonts w:ascii="Times New Roman" w:hAnsi="Times New Roman"/>
                <w:sz w:val="20"/>
                <w:szCs w:val="20"/>
                <w:lang w:eastAsia="hu-HU"/>
              </w:rPr>
              <w:t>18</w:t>
            </w:r>
          </w:p>
        </w:tc>
      </w:tr>
    </w:tbl>
    <w:p w:rsidR="00AC5E54" w:rsidRPr="00B57F35" w:rsidRDefault="00AC5E54">
      <w:pPr>
        <w:rPr>
          <w:sz w:val="20"/>
          <w:szCs w:val="20"/>
        </w:rPr>
      </w:pPr>
    </w:p>
    <w:p w:rsidR="00AC5E54" w:rsidRPr="00B57F35" w:rsidRDefault="00AC5E54">
      <w:pPr>
        <w:rPr>
          <w:sz w:val="20"/>
          <w:szCs w:val="20"/>
        </w:rPr>
      </w:pPr>
    </w:p>
    <w:tbl>
      <w:tblPr>
        <w:tblW w:w="12040" w:type="dxa"/>
        <w:tblInd w:w="53" w:type="dxa"/>
        <w:tblCellMar>
          <w:left w:w="70" w:type="dxa"/>
          <w:right w:w="70" w:type="dxa"/>
        </w:tblCellMar>
        <w:tblLook w:val="00A0"/>
      </w:tblPr>
      <w:tblGrid>
        <w:gridCol w:w="620"/>
        <w:gridCol w:w="6800"/>
        <w:gridCol w:w="1620"/>
        <w:gridCol w:w="1540"/>
        <w:gridCol w:w="1460"/>
      </w:tblGrid>
      <w:tr w:rsidR="00AC5E54" w:rsidRPr="00B43266" w:rsidTr="00B57F35">
        <w:trPr>
          <w:trHeight w:val="510"/>
        </w:trPr>
        <w:tc>
          <w:tcPr>
            <w:tcW w:w="620" w:type="dxa"/>
            <w:tcBorders>
              <w:top w:val="nil"/>
              <w:left w:val="nil"/>
              <w:bottom w:val="nil"/>
              <w:right w:val="nil"/>
            </w:tcBorders>
            <w:noWrap/>
            <w:vAlign w:val="bottom"/>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 xml:space="preserve">7. </w:t>
            </w:r>
          </w:p>
        </w:tc>
        <w:tc>
          <w:tcPr>
            <w:tcW w:w="6800" w:type="dxa"/>
            <w:tcBorders>
              <w:top w:val="nil"/>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xml:space="preserve">Felsőoktatási intézmények hallgatói létszáma 2010. május 14-ei állapot szerint (fő) </w:t>
            </w:r>
          </w:p>
        </w:tc>
        <w:tc>
          <w:tcPr>
            <w:tcW w:w="1620" w:type="dxa"/>
            <w:tcBorders>
              <w:top w:val="nil"/>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p>
        </w:tc>
        <w:tc>
          <w:tcPr>
            <w:tcW w:w="1540" w:type="dxa"/>
            <w:tcBorders>
              <w:top w:val="nil"/>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p>
        </w:tc>
        <w:tc>
          <w:tcPr>
            <w:tcW w:w="1460" w:type="dxa"/>
            <w:tcBorders>
              <w:top w:val="nil"/>
              <w:left w:val="nil"/>
              <w:bottom w:val="nil"/>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p>
        </w:tc>
      </w:tr>
    </w:tbl>
    <w:p w:rsidR="00AC5E54" w:rsidRPr="00B57F35" w:rsidRDefault="00AC5E54">
      <w:pPr>
        <w:rPr>
          <w:sz w:val="20"/>
          <w:szCs w:val="20"/>
        </w:rPr>
      </w:pPr>
    </w:p>
    <w:tbl>
      <w:tblPr>
        <w:tblW w:w="5000" w:type="pct"/>
        <w:tblCellMar>
          <w:left w:w="70" w:type="dxa"/>
          <w:right w:w="70" w:type="dxa"/>
        </w:tblCellMar>
        <w:tblLook w:val="00A0"/>
      </w:tblPr>
      <w:tblGrid>
        <w:gridCol w:w="1573"/>
        <w:gridCol w:w="2034"/>
        <w:gridCol w:w="1678"/>
        <w:gridCol w:w="1379"/>
        <w:gridCol w:w="1309"/>
        <w:gridCol w:w="1239"/>
      </w:tblGrid>
      <w:tr w:rsidR="00AC5E54" w:rsidRPr="00B43266" w:rsidTr="00B57F35">
        <w:trPr>
          <w:trHeight w:val="510"/>
        </w:trPr>
        <w:tc>
          <w:tcPr>
            <w:tcW w:w="880" w:type="pct"/>
            <w:tcBorders>
              <w:top w:val="single" w:sz="4" w:space="0" w:color="auto"/>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975" w:type="pct"/>
            <w:tcBorders>
              <w:top w:val="single" w:sz="4" w:space="0" w:color="auto"/>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937" w:type="pct"/>
            <w:tcBorders>
              <w:top w:val="single" w:sz="4" w:space="0" w:color="auto"/>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74" w:type="pct"/>
            <w:tcBorders>
              <w:top w:val="single" w:sz="4" w:space="0" w:color="auto"/>
              <w:left w:val="nil"/>
              <w:bottom w:val="single" w:sz="4" w:space="0" w:color="auto"/>
              <w:right w:val="single" w:sz="4" w:space="0" w:color="auto"/>
            </w:tcBorders>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Nappali tagozat</w:t>
            </w:r>
          </w:p>
        </w:tc>
        <w:tc>
          <w:tcPr>
            <w:tcW w:w="736" w:type="pct"/>
            <w:tcBorders>
              <w:top w:val="single" w:sz="4" w:space="0" w:color="auto"/>
              <w:left w:val="nil"/>
              <w:bottom w:val="single" w:sz="4" w:space="0" w:color="auto"/>
              <w:right w:val="single" w:sz="4" w:space="0" w:color="auto"/>
            </w:tcBorders>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Esti, levelező  tagozat</w:t>
            </w:r>
          </w:p>
        </w:tc>
        <w:tc>
          <w:tcPr>
            <w:tcW w:w="698" w:type="pct"/>
            <w:tcBorders>
              <w:top w:val="single" w:sz="4" w:space="0" w:color="auto"/>
              <w:left w:val="nil"/>
              <w:bottom w:val="single" w:sz="4" w:space="0" w:color="auto"/>
              <w:right w:val="single" w:sz="4" w:space="0" w:color="auto"/>
            </w:tcBorders>
            <w:vAlign w:val="center"/>
          </w:tcPr>
          <w:p w:rsidR="00AC5E54" w:rsidRPr="00B57F35" w:rsidRDefault="00AC5E54" w:rsidP="00B57F35">
            <w:pPr>
              <w:spacing w:after="0" w:line="240" w:lineRule="auto"/>
              <w:jc w:val="center"/>
              <w:rPr>
                <w:rFonts w:ascii="Times New Roman" w:hAnsi="Times New Roman"/>
                <w:sz w:val="20"/>
                <w:szCs w:val="20"/>
                <w:lang w:eastAsia="hu-HU"/>
              </w:rPr>
            </w:pPr>
            <w:r w:rsidRPr="00B57F35">
              <w:rPr>
                <w:rFonts w:ascii="Times New Roman" w:hAnsi="Times New Roman"/>
                <w:sz w:val="20"/>
                <w:szCs w:val="20"/>
                <w:lang w:eastAsia="hu-HU"/>
              </w:rPr>
              <w:t>Összesen:</w:t>
            </w:r>
          </w:p>
        </w:tc>
      </w:tr>
      <w:tr w:rsidR="00AC5E54" w:rsidRPr="00B43266" w:rsidTr="00B57F35">
        <w:trPr>
          <w:trHeight w:val="255"/>
        </w:trPr>
        <w:tc>
          <w:tcPr>
            <w:tcW w:w="88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Hallgatók száma</w:t>
            </w:r>
          </w:p>
        </w:tc>
        <w:tc>
          <w:tcPr>
            <w:tcW w:w="975" w:type="pct"/>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937"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36"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9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r>
      <w:tr w:rsidR="00AC5E54" w:rsidRPr="00B43266" w:rsidTr="00B57F35">
        <w:trPr>
          <w:trHeight w:val="255"/>
        </w:trPr>
        <w:tc>
          <w:tcPr>
            <w:tcW w:w="88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ebből:</w:t>
            </w:r>
          </w:p>
        </w:tc>
        <w:tc>
          <w:tcPr>
            <w:tcW w:w="975" w:type="pct"/>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államilag finanszírozott</w:t>
            </w:r>
          </w:p>
        </w:tc>
        <w:tc>
          <w:tcPr>
            <w:tcW w:w="937"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36"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9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r>
      <w:tr w:rsidR="00AC5E54" w:rsidRPr="00B43266" w:rsidTr="00B57F35">
        <w:trPr>
          <w:trHeight w:val="255"/>
        </w:trPr>
        <w:tc>
          <w:tcPr>
            <w:tcW w:w="88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975" w:type="pct"/>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önköltséges</w:t>
            </w:r>
          </w:p>
        </w:tc>
        <w:tc>
          <w:tcPr>
            <w:tcW w:w="937"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36"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9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r>
      <w:tr w:rsidR="00AC5E54" w:rsidRPr="00B43266" w:rsidTr="00B57F35">
        <w:trPr>
          <w:trHeight w:val="255"/>
        </w:trPr>
        <w:tc>
          <w:tcPr>
            <w:tcW w:w="880" w:type="pct"/>
            <w:tcBorders>
              <w:top w:val="nil"/>
              <w:left w:val="single" w:sz="4" w:space="0" w:color="auto"/>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975" w:type="pct"/>
            <w:tcBorders>
              <w:top w:val="nil"/>
              <w:left w:val="nil"/>
              <w:bottom w:val="single" w:sz="4" w:space="0" w:color="auto"/>
              <w:right w:val="nil"/>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külföldi</w:t>
            </w:r>
          </w:p>
        </w:tc>
        <w:tc>
          <w:tcPr>
            <w:tcW w:w="937"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74"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736"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c>
          <w:tcPr>
            <w:tcW w:w="698" w:type="pct"/>
            <w:tcBorders>
              <w:top w:val="nil"/>
              <w:left w:val="nil"/>
              <w:bottom w:val="single" w:sz="4" w:space="0" w:color="auto"/>
              <w:right w:val="single" w:sz="4" w:space="0" w:color="auto"/>
            </w:tcBorders>
            <w:noWrap/>
            <w:vAlign w:val="bottom"/>
          </w:tcPr>
          <w:p w:rsidR="00AC5E54" w:rsidRPr="00B57F35" w:rsidRDefault="00AC5E54" w:rsidP="00B57F35">
            <w:pPr>
              <w:spacing w:after="0" w:line="240" w:lineRule="auto"/>
              <w:rPr>
                <w:rFonts w:ascii="Times New Roman" w:hAnsi="Times New Roman"/>
                <w:sz w:val="20"/>
                <w:szCs w:val="20"/>
                <w:lang w:eastAsia="hu-HU"/>
              </w:rPr>
            </w:pPr>
            <w:r w:rsidRPr="00B57F35">
              <w:rPr>
                <w:rFonts w:ascii="Times New Roman" w:hAnsi="Times New Roman"/>
                <w:sz w:val="20"/>
                <w:szCs w:val="20"/>
                <w:lang w:eastAsia="hu-HU"/>
              </w:rPr>
              <w:t> </w:t>
            </w:r>
          </w:p>
        </w:tc>
      </w:tr>
    </w:tbl>
    <w:p w:rsidR="00AC5E54" w:rsidRPr="00B57F35" w:rsidRDefault="00AC5E54">
      <w:pPr>
        <w:rPr>
          <w:sz w:val="20"/>
          <w:szCs w:val="20"/>
        </w:rPr>
      </w:pPr>
    </w:p>
    <w:sectPr w:rsidR="00AC5E54" w:rsidRPr="00B57F35" w:rsidSect="003F650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114D7"/>
    <w:multiLevelType w:val="hybridMultilevel"/>
    <w:tmpl w:val="416E6E0A"/>
    <w:lvl w:ilvl="0" w:tplc="918423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6754AEF"/>
    <w:multiLevelType w:val="multilevel"/>
    <w:tmpl w:val="040E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28A04420"/>
    <w:multiLevelType w:val="hybridMultilevel"/>
    <w:tmpl w:val="025A9E18"/>
    <w:lvl w:ilvl="0" w:tplc="040E0015">
      <w:start w:val="1"/>
      <w:numFmt w:val="upperLetter"/>
      <w:lvlText w:val="%1."/>
      <w:lvlJc w:val="left"/>
      <w:pPr>
        <w:tabs>
          <w:tab w:val="num" w:pos="1080"/>
        </w:tabs>
        <w:ind w:left="1080" w:hanging="360"/>
      </w:pPr>
      <w:rPr>
        <w:rFonts w:cs="Times New Roman"/>
      </w:rPr>
    </w:lvl>
    <w:lvl w:ilvl="1" w:tplc="040E0019" w:tentative="1">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3">
    <w:nsid w:val="314A2B9A"/>
    <w:multiLevelType w:val="hybridMultilevel"/>
    <w:tmpl w:val="E5D6DE1E"/>
    <w:lvl w:ilvl="0" w:tplc="918423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349F03D8"/>
    <w:multiLevelType w:val="hybridMultilevel"/>
    <w:tmpl w:val="9D1E24FE"/>
    <w:lvl w:ilvl="0" w:tplc="040E000F">
      <w:start w:val="1"/>
      <w:numFmt w:val="decimal"/>
      <w:lvlText w:val="%1."/>
      <w:lvlJc w:val="left"/>
      <w:pPr>
        <w:tabs>
          <w:tab w:val="num" w:pos="1080"/>
        </w:tabs>
        <w:ind w:left="1080" w:hanging="360"/>
      </w:pPr>
      <w:rPr>
        <w:rFonts w:cs="Times New Roman"/>
      </w:rPr>
    </w:lvl>
    <w:lvl w:ilvl="1" w:tplc="040E0019" w:tentative="1">
      <w:start w:val="1"/>
      <w:numFmt w:val="lowerLetter"/>
      <w:lvlText w:val="%2."/>
      <w:lvlJc w:val="left"/>
      <w:pPr>
        <w:tabs>
          <w:tab w:val="num" w:pos="1800"/>
        </w:tabs>
        <w:ind w:left="1800" w:hanging="360"/>
      </w:pPr>
      <w:rPr>
        <w:rFonts w:cs="Times New Roman"/>
      </w:rPr>
    </w:lvl>
    <w:lvl w:ilvl="2" w:tplc="040E001B" w:tentative="1">
      <w:start w:val="1"/>
      <w:numFmt w:val="lowerRoman"/>
      <w:lvlText w:val="%3."/>
      <w:lvlJc w:val="right"/>
      <w:pPr>
        <w:tabs>
          <w:tab w:val="num" w:pos="2520"/>
        </w:tabs>
        <w:ind w:left="2520" w:hanging="180"/>
      </w:pPr>
      <w:rPr>
        <w:rFonts w:cs="Times New Roman"/>
      </w:rPr>
    </w:lvl>
    <w:lvl w:ilvl="3" w:tplc="040E000F" w:tentative="1">
      <w:start w:val="1"/>
      <w:numFmt w:val="decimal"/>
      <w:lvlText w:val="%4."/>
      <w:lvlJc w:val="left"/>
      <w:pPr>
        <w:tabs>
          <w:tab w:val="num" w:pos="3240"/>
        </w:tabs>
        <w:ind w:left="3240" w:hanging="360"/>
      </w:pPr>
      <w:rPr>
        <w:rFonts w:cs="Times New Roman"/>
      </w:rPr>
    </w:lvl>
    <w:lvl w:ilvl="4" w:tplc="040E0019" w:tentative="1">
      <w:start w:val="1"/>
      <w:numFmt w:val="lowerLetter"/>
      <w:lvlText w:val="%5."/>
      <w:lvlJc w:val="left"/>
      <w:pPr>
        <w:tabs>
          <w:tab w:val="num" w:pos="3960"/>
        </w:tabs>
        <w:ind w:left="3960" w:hanging="360"/>
      </w:pPr>
      <w:rPr>
        <w:rFonts w:cs="Times New Roman"/>
      </w:rPr>
    </w:lvl>
    <w:lvl w:ilvl="5" w:tplc="040E001B" w:tentative="1">
      <w:start w:val="1"/>
      <w:numFmt w:val="lowerRoman"/>
      <w:lvlText w:val="%6."/>
      <w:lvlJc w:val="right"/>
      <w:pPr>
        <w:tabs>
          <w:tab w:val="num" w:pos="4680"/>
        </w:tabs>
        <w:ind w:left="4680" w:hanging="180"/>
      </w:pPr>
      <w:rPr>
        <w:rFonts w:cs="Times New Roman"/>
      </w:rPr>
    </w:lvl>
    <w:lvl w:ilvl="6" w:tplc="040E000F" w:tentative="1">
      <w:start w:val="1"/>
      <w:numFmt w:val="decimal"/>
      <w:lvlText w:val="%7."/>
      <w:lvlJc w:val="left"/>
      <w:pPr>
        <w:tabs>
          <w:tab w:val="num" w:pos="5400"/>
        </w:tabs>
        <w:ind w:left="5400" w:hanging="360"/>
      </w:pPr>
      <w:rPr>
        <w:rFonts w:cs="Times New Roman"/>
      </w:rPr>
    </w:lvl>
    <w:lvl w:ilvl="7" w:tplc="040E0019" w:tentative="1">
      <w:start w:val="1"/>
      <w:numFmt w:val="lowerLetter"/>
      <w:lvlText w:val="%8."/>
      <w:lvlJc w:val="left"/>
      <w:pPr>
        <w:tabs>
          <w:tab w:val="num" w:pos="6120"/>
        </w:tabs>
        <w:ind w:left="6120" w:hanging="360"/>
      </w:pPr>
      <w:rPr>
        <w:rFonts w:cs="Times New Roman"/>
      </w:rPr>
    </w:lvl>
    <w:lvl w:ilvl="8" w:tplc="040E001B" w:tentative="1">
      <w:start w:val="1"/>
      <w:numFmt w:val="lowerRoman"/>
      <w:lvlText w:val="%9."/>
      <w:lvlJc w:val="right"/>
      <w:pPr>
        <w:tabs>
          <w:tab w:val="num" w:pos="6840"/>
        </w:tabs>
        <w:ind w:left="6840" w:hanging="180"/>
      </w:pPr>
      <w:rPr>
        <w:rFonts w:cs="Times New Roman"/>
      </w:rPr>
    </w:lvl>
  </w:abstractNum>
  <w:abstractNum w:abstractNumId="5">
    <w:nsid w:val="44A11A9C"/>
    <w:multiLevelType w:val="hybridMultilevel"/>
    <w:tmpl w:val="1FB23930"/>
    <w:lvl w:ilvl="0" w:tplc="918423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F0B1BCF"/>
    <w:multiLevelType w:val="hybridMultilevel"/>
    <w:tmpl w:val="36B8BB1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54B01F2C"/>
    <w:multiLevelType w:val="hybridMultilevel"/>
    <w:tmpl w:val="F0626738"/>
    <w:lvl w:ilvl="0" w:tplc="918423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6137420C"/>
    <w:multiLevelType w:val="multilevel"/>
    <w:tmpl w:val="00D8A41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9">
    <w:nsid w:val="71F938A5"/>
    <w:multiLevelType w:val="hybridMultilevel"/>
    <w:tmpl w:val="9EE8CF46"/>
    <w:lvl w:ilvl="0" w:tplc="918423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738517F8"/>
    <w:multiLevelType w:val="hybridMultilevel"/>
    <w:tmpl w:val="5A8AEEBC"/>
    <w:lvl w:ilvl="0" w:tplc="918423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7DC71F4D"/>
    <w:multiLevelType w:val="hybridMultilevel"/>
    <w:tmpl w:val="1CDED474"/>
    <w:lvl w:ilvl="0" w:tplc="918423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7F6B77CE"/>
    <w:multiLevelType w:val="hybridMultilevel"/>
    <w:tmpl w:val="CBD05E36"/>
    <w:lvl w:ilvl="0" w:tplc="9184234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1"/>
  </w:num>
  <w:num w:numId="4">
    <w:abstractNumId w:val="9"/>
  </w:num>
  <w:num w:numId="5">
    <w:abstractNumId w:val="10"/>
  </w:num>
  <w:num w:numId="6">
    <w:abstractNumId w:val="5"/>
  </w:num>
  <w:num w:numId="7">
    <w:abstractNumId w:val="2"/>
  </w:num>
  <w:num w:numId="8">
    <w:abstractNumId w:val="1"/>
  </w:num>
  <w:num w:numId="9">
    <w:abstractNumId w:val="8"/>
  </w:num>
  <w:num w:numId="10">
    <w:abstractNumId w:val="4"/>
  </w:num>
  <w:num w:numId="11">
    <w:abstractNumId w:val="0"/>
  </w:num>
  <w:num w:numId="12">
    <w:abstractNumId w:val="1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7BFF"/>
    <w:rsid w:val="0017396F"/>
    <w:rsid w:val="003F6507"/>
    <w:rsid w:val="00452932"/>
    <w:rsid w:val="005A5FE8"/>
    <w:rsid w:val="009E7BFF"/>
    <w:rsid w:val="00AC5E54"/>
    <w:rsid w:val="00B43266"/>
    <w:rsid w:val="00B57F35"/>
    <w:rsid w:val="00BD599B"/>
    <w:rsid w:val="00D749F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50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B57F35"/>
    <w:pPr>
      <w:spacing w:after="0" w:line="240" w:lineRule="auto"/>
      <w:jc w:val="center"/>
    </w:pPr>
    <w:rPr>
      <w:rFonts w:ascii="Arial" w:eastAsia="Times New Roman" w:hAnsi="Arial" w:cs="Arial"/>
      <w:b/>
      <w:bCs/>
      <w:sz w:val="24"/>
      <w:szCs w:val="24"/>
      <w:lang w:eastAsia="hu-HU"/>
    </w:rPr>
  </w:style>
  <w:style w:type="character" w:customStyle="1" w:styleId="TitleChar">
    <w:name w:val="Title Char"/>
    <w:basedOn w:val="DefaultParagraphFont"/>
    <w:link w:val="Title"/>
    <w:uiPriority w:val="99"/>
    <w:locked/>
    <w:rsid w:val="00B57F35"/>
    <w:rPr>
      <w:rFonts w:ascii="Arial" w:hAnsi="Arial" w:cs="Arial"/>
      <w:b/>
      <w:bCs/>
      <w:sz w:val="24"/>
      <w:szCs w:val="24"/>
      <w:lang w:eastAsia="hu-HU"/>
    </w:rPr>
  </w:style>
  <w:style w:type="paragraph" w:styleId="BalloonText">
    <w:name w:val="Balloon Text"/>
    <w:basedOn w:val="Normal"/>
    <w:link w:val="BalloonTextChar"/>
    <w:uiPriority w:val="99"/>
    <w:semiHidden/>
    <w:rsid w:val="00B57F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7F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4520183">
      <w:marLeft w:val="0"/>
      <w:marRight w:val="0"/>
      <w:marTop w:val="0"/>
      <w:marBottom w:val="0"/>
      <w:divBdr>
        <w:top w:val="none" w:sz="0" w:space="0" w:color="auto"/>
        <w:left w:val="none" w:sz="0" w:space="0" w:color="auto"/>
        <w:bottom w:val="none" w:sz="0" w:space="0" w:color="auto"/>
        <w:right w:val="none" w:sz="0" w:space="0" w:color="auto"/>
      </w:divBdr>
    </w:div>
    <w:div w:id="1384520184">
      <w:marLeft w:val="0"/>
      <w:marRight w:val="0"/>
      <w:marTop w:val="0"/>
      <w:marBottom w:val="0"/>
      <w:divBdr>
        <w:top w:val="none" w:sz="0" w:space="0" w:color="auto"/>
        <w:left w:val="none" w:sz="0" w:space="0" w:color="auto"/>
        <w:bottom w:val="none" w:sz="0" w:space="0" w:color="auto"/>
        <w:right w:val="none" w:sz="0" w:space="0" w:color="auto"/>
      </w:divBdr>
    </w:div>
    <w:div w:id="1384520185">
      <w:marLeft w:val="0"/>
      <w:marRight w:val="0"/>
      <w:marTop w:val="0"/>
      <w:marBottom w:val="0"/>
      <w:divBdr>
        <w:top w:val="none" w:sz="0" w:space="0" w:color="auto"/>
        <w:left w:val="none" w:sz="0" w:space="0" w:color="auto"/>
        <w:bottom w:val="none" w:sz="0" w:space="0" w:color="auto"/>
        <w:right w:val="none" w:sz="0" w:space="0" w:color="auto"/>
      </w:divBdr>
    </w:div>
    <w:div w:id="1384520186">
      <w:marLeft w:val="0"/>
      <w:marRight w:val="0"/>
      <w:marTop w:val="0"/>
      <w:marBottom w:val="0"/>
      <w:divBdr>
        <w:top w:val="none" w:sz="0" w:space="0" w:color="auto"/>
        <w:left w:val="none" w:sz="0" w:space="0" w:color="auto"/>
        <w:bottom w:val="none" w:sz="0" w:space="0" w:color="auto"/>
        <w:right w:val="none" w:sz="0" w:space="0" w:color="auto"/>
      </w:divBdr>
    </w:div>
    <w:div w:id="1384520187">
      <w:marLeft w:val="0"/>
      <w:marRight w:val="0"/>
      <w:marTop w:val="0"/>
      <w:marBottom w:val="0"/>
      <w:divBdr>
        <w:top w:val="none" w:sz="0" w:space="0" w:color="auto"/>
        <w:left w:val="none" w:sz="0" w:space="0" w:color="auto"/>
        <w:bottom w:val="none" w:sz="0" w:space="0" w:color="auto"/>
        <w:right w:val="none" w:sz="0" w:space="0" w:color="auto"/>
      </w:divBdr>
    </w:div>
    <w:div w:id="1384520188">
      <w:marLeft w:val="0"/>
      <w:marRight w:val="0"/>
      <w:marTop w:val="0"/>
      <w:marBottom w:val="0"/>
      <w:divBdr>
        <w:top w:val="none" w:sz="0" w:space="0" w:color="auto"/>
        <w:left w:val="none" w:sz="0" w:space="0" w:color="auto"/>
        <w:bottom w:val="none" w:sz="0" w:space="0" w:color="auto"/>
        <w:right w:val="none" w:sz="0" w:space="0" w:color="auto"/>
      </w:divBdr>
    </w:div>
    <w:div w:id="1384520189">
      <w:marLeft w:val="0"/>
      <w:marRight w:val="0"/>
      <w:marTop w:val="0"/>
      <w:marBottom w:val="0"/>
      <w:divBdr>
        <w:top w:val="none" w:sz="0" w:space="0" w:color="auto"/>
        <w:left w:val="none" w:sz="0" w:space="0" w:color="auto"/>
        <w:bottom w:val="none" w:sz="0" w:space="0" w:color="auto"/>
        <w:right w:val="none" w:sz="0" w:space="0" w:color="auto"/>
      </w:divBdr>
    </w:div>
    <w:div w:id="1384520190">
      <w:marLeft w:val="0"/>
      <w:marRight w:val="0"/>
      <w:marTop w:val="0"/>
      <w:marBottom w:val="0"/>
      <w:divBdr>
        <w:top w:val="none" w:sz="0" w:space="0" w:color="auto"/>
        <w:left w:val="none" w:sz="0" w:space="0" w:color="auto"/>
        <w:bottom w:val="none" w:sz="0" w:space="0" w:color="auto"/>
        <w:right w:val="none" w:sz="0" w:space="0" w:color="auto"/>
      </w:divBdr>
    </w:div>
    <w:div w:id="1384520191">
      <w:marLeft w:val="0"/>
      <w:marRight w:val="0"/>
      <w:marTop w:val="0"/>
      <w:marBottom w:val="0"/>
      <w:divBdr>
        <w:top w:val="none" w:sz="0" w:space="0" w:color="auto"/>
        <w:left w:val="none" w:sz="0" w:space="0" w:color="auto"/>
        <w:bottom w:val="none" w:sz="0" w:space="0" w:color="auto"/>
        <w:right w:val="none" w:sz="0" w:space="0" w:color="auto"/>
      </w:divBdr>
    </w:div>
    <w:div w:id="1384520192">
      <w:marLeft w:val="0"/>
      <w:marRight w:val="0"/>
      <w:marTop w:val="0"/>
      <w:marBottom w:val="0"/>
      <w:divBdr>
        <w:top w:val="none" w:sz="0" w:space="0" w:color="auto"/>
        <w:left w:val="none" w:sz="0" w:space="0" w:color="auto"/>
        <w:bottom w:val="none" w:sz="0" w:space="0" w:color="auto"/>
        <w:right w:val="none" w:sz="0" w:space="0" w:color="auto"/>
      </w:divBdr>
    </w:div>
    <w:div w:id="1384520193">
      <w:marLeft w:val="0"/>
      <w:marRight w:val="0"/>
      <w:marTop w:val="0"/>
      <w:marBottom w:val="0"/>
      <w:divBdr>
        <w:top w:val="none" w:sz="0" w:space="0" w:color="auto"/>
        <w:left w:val="none" w:sz="0" w:space="0" w:color="auto"/>
        <w:bottom w:val="none" w:sz="0" w:space="0" w:color="auto"/>
        <w:right w:val="none" w:sz="0" w:space="0" w:color="auto"/>
      </w:divBdr>
    </w:div>
    <w:div w:id="1384520194">
      <w:marLeft w:val="0"/>
      <w:marRight w:val="0"/>
      <w:marTop w:val="0"/>
      <w:marBottom w:val="0"/>
      <w:divBdr>
        <w:top w:val="none" w:sz="0" w:space="0" w:color="auto"/>
        <w:left w:val="none" w:sz="0" w:space="0" w:color="auto"/>
        <w:bottom w:val="none" w:sz="0" w:space="0" w:color="auto"/>
        <w:right w:val="none" w:sz="0" w:space="0" w:color="auto"/>
      </w:divBdr>
    </w:div>
    <w:div w:id="1384520195">
      <w:marLeft w:val="0"/>
      <w:marRight w:val="0"/>
      <w:marTop w:val="0"/>
      <w:marBottom w:val="0"/>
      <w:divBdr>
        <w:top w:val="none" w:sz="0" w:space="0" w:color="auto"/>
        <w:left w:val="none" w:sz="0" w:space="0" w:color="auto"/>
        <w:bottom w:val="none" w:sz="0" w:space="0" w:color="auto"/>
        <w:right w:val="none" w:sz="0" w:space="0" w:color="auto"/>
      </w:divBdr>
    </w:div>
    <w:div w:id="1384520196">
      <w:marLeft w:val="0"/>
      <w:marRight w:val="0"/>
      <w:marTop w:val="0"/>
      <w:marBottom w:val="0"/>
      <w:divBdr>
        <w:top w:val="none" w:sz="0" w:space="0" w:color="auto"/>
        <w:left w:val="none" w:sz="0" w:space="0" w:color="auto"/>
        <w:bottom w:val="none" w:sz="0" w:space="0" w:color="auto"/>
        <w:right w:val="none" w:sz="0" w:space="0" w:color="auto"/>
      </w:divBdr>
    </w:div>
    <w:div w:id="1384520197">
      <w:marLeft w:val="0"/>
      <w:marRight w:val="0"/>
      <w:marTop w:val="0"/>
      <w:marBottom w:val="0"/>
      <w:divBdr>
        <w:top w:val="none" w:sz="0" w:space="0" w:color="auto"/>
        <w:left w:val="none" w:sz="0" w:space="0" w:color="auto"/>
        <w:bottom w:val="none" w:sz="0" w:space="0" w:color="auto"/>
        <w:right w:val="none" w:sz="0" w:space="0" w:color="auto"/>
      </w:divBdr>
    </w:div>
    <w:div w:id="1384520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TotalTime>
  <Pages>13</Pages>
  <Words>3651</Words>
  <Characters>25197</Characters>
  <Application>Microsoft Office Outlook</Application>
  <DocSecurity>0</DocSecurity>
  <Lines>0</Lines>
  <Paragraphs>0</Paragraphs>
  <ScaleCrop>false</ScaleCrop>
  <Company>Your Company Name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jakabt</cp:lastModifiedBy>
  <cp:revision>2</cp:revision>
  <dcterms:created xsi:type="dcterms:W3CDTF">2010-05-27T07:03:00Z</dcterms:created>
  <dcterms:modified xsi:type="dcterms:W3CDTF">2010-05-27T12:58:00Z</dcterms:modified>
</cp:coreProperties>
</file>